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412" w:rsidRPr="00A7366F" w:rsidRDefault="00E94412" w:rsidP="00E94412">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220D18">
        <w:rPr>
          <w:rFonts w:ascii="Calibri" w:eastAsia="PMingLiU" w:hAnsi="Calibri" w:cs="Calibri"/>
          <w:sz w:val="24"/>
          <w:szCs w:val="24"/>
          <w:lang w:eastAsia="ja-JP"/>
        </w:rPr>
        <w:t>3494</w:t>
      </w:r>
      <w:bookmarkStart w:id="2" w:name="_GoBack"/>
      <w:bookmarkEnd w:id="2"/>
    </w:p>
    <w:p w:rsidR="00E94412" w:rsidRPr="00A7366F" w:rsidRDefault="00E94412" w:rsidP="00E94412">
      <w:pPr>
        <w:pStyle w:val="a3"/>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rsidR="00604122" w:rsidRPr="00A1720D"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E94412">
        <w:rPr>
          <w:rFonts w:asciiTheme="minorHAnsi" w:eastAsia="宋体" w:hAnsiTheme="minorHAnsi" w:cs="Arial"/>
          <w:b/>
          <w:bCs/>
          <w:sz w:val="24"/>
          <w:szCs w:val="24"/>
          <w:lang w:eastAsia="en-US"/>
        </w:rPr>
        <w:t>Agenda Item:</w:t>
      </w:r>
      <w:r w:rsidRPr="00E94412">
        <w:rPr>
          <w:rFonts w:asciiTheme="minorHAnsi" w:eastAsia="宋体" w:hAnsiTheme="minorHAnsi" w:cs="Arial"/>
          <w:b/>
          <w:bCs/>
          <w:sz w:val="24"/>
          <w:szCs w:val="24"/>
          <w:lang w:eastAsia="en-US"/>
        </w:rPr>
        <w:tab/>
      </w:r>
      <w:r w:rsidR="00E94412">
        <w:rPr>
          <w:rFonts w:asciiTheme="minorHAnsi" w:eastAsia="宋体" w:hAnsiTheme="minorHAnsi" w:cs="Arial"/>
          <w:b/>
          <w:bCs/>
          <w:sz w:val="24"/>
          <w:szCs w:val="24"/>
          <w:lang w:eastAsia="en-US"/>
        </w:rPr>
        <w:t>4</w:t>
      </w:r>
      <w:r w:rsidR="00824B28" w:rsidRPr="00E94412">
        <w:rPr>
          <w:rFonts w:asciiTheme="minorHAnsi" w:eastAsia="宋体" w:hAnsiTheme="minorHAnsi" w:cs="Arial"/>
          <w:b/>
          <w:bCs/>
          <w:sz w:val="24"/>
          <w:szCs w:val="24"/>
          <w:lang w:eastAsia="en-US"/>
        </w:rPr>
        <w:t>.</w:t>
      </w:r>
      <w:r w:rsidR="00E94412">
        <w:rPr>
          <w:rFonts w:asciiTheme="minorHAnsi" w:eastAsia="宋体" w:hAnsiTheme="minorHAnsi" w:cs="Arial"/>
          <w:b/>
          <w:bCs/>
          <w:sz w:val="24"/>
          <w:szCs w:val="24"/>
          <w:lang w:eastAsia="en-US"/>
        </w:rPr>
        <w:t>9</w:t>
      </w:r>
      <w:r w:rsidR="00824B28" w:rsidRPr="00E94412">
        <w:rPr>
          <w:rFonts w:asciiTheme="minorHAnsi" w:eastAsia="宋体" w:hAnsiTheme="minorHAnsi" w:cs="Arial"/>
          <w:b/>
          <w:bCs/>
          <w:sz w:val="24"/>
          <w:szCs w:val="24"/>
          <w:lang w:eastAsia="en-US"/>
        </w:rPr>
        <w:t>.</w:t>
      </w:r>
      <w:r w:rsidR="00E94412">
        <w:rPr>
          <w:rFonts w:asciiTheme="minorHAnsi" w:eastAsia="宋体" w:hAnsiTheme="minorHAnsi" w:cs="Arial"/>
          <w:b/>
          <w:bCs/>
          <w:sz w:val="24"/>
          <w:szCs w:val="24"/>
          <w:lang w:eastAsia="en-US"/>
        </w:rPr>
        <w:t>7</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19292E" w:rsidRPr="00474D21">
        <w:rPr>
          <w:rFonts w:asciiTheme="minorHAnsi" w:eastAsia="宋体" w:hAnsiTheme="minorHAnsi" w:cs="Arial"/>
          <w:b/>
          <w:bCs/>
          <w:sz w:val="24"/>
          <w:szCs w:val="24"/>
          <w:lang w:eastAsia="en-US"/>
        </w:rPr>
        <w:t>Discussion on</w:t>
      </w:r>
      <w:r w:rsidR="002946AE">
        <w:rPr>
          <w:rFonts w:asciiTheme="minorHAnsi" w:eastAsia="宋体" w:hAnsiTheme="minorHAnsi" w:cs="Arial"/>
          <w:b/>
          <w:bCs/>
          <w:sz w:val="24"/>
          <w:szCs w:val="24"/>
          <w:lang w:eastAsia="en-US"/>
        </w:rPr>
        <w:t xml:space="preserve"> </w:t>
      </w:r>
      <w:r w:rsidR="00140825">
        <w:rPr>
          <w:rFonts w:asciiTheme="minorHAnsi" w:eastAsia="宋体" w:hAnsiTheme="minorHAnsi" w:cs="Arial"/>
          <w:b/>
          <w:bCs/>
          <w:sz w:val="24"/>
          <w:szCs w:val="24"/>
          <w:lang w:eastAsia="zh-CN"/>
        </w:rPr>
        <w:t>remaining issues o</w:t>
      </w:r>
      <w:r w:rsidR="00443251">
        <w:rPr>
          <w:rFonts w:asciiTheme="minorHAnsi" w:eastAsia="宋体" w:hAnsiTheme="minorHAnsi" w:cs="Arial"/>
          <w:b/>
          <w:bCs/>
          <w:sz w:val="24"/>
          <w:szCs w:val="24"/>
          <w:lang w:eastAsia="zh-CN"/>
        </w:rPr>
        <w:t>f</w:t>
      </w:r>
      <w:r w:rsidR="00140825">
        <w:rPr>
          <w:rFonts w:asciiTheme="minorHAnsi" w:eastAsia="宋体" w:hAnsiTheme="minorHAnsi" w:cs="Arial"/>
          <w:b/>
          <w:bCs/>
          <w:sz w:val="24"/>
          <w:szCs w:val="24"/>
          <w:lang w:eastAsia="zh-CN"/>
        </w:rPr>
        <w:t xml:space="preserve"> TCI state 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8717E" w:rsidRPr="004E76E7" w:rsidRDefault="00140825" w:rsidP="004E76E7">
      <w:pPr>
        <w:spacing w:before="120"/>
        <w:jc w:val="both"/>
        <w:rPr>
          <w:rFonts w:eastAsiaTheme="minorEastAsia"/>
          <w:lang w:val="en-US" w:eastAsia="zh-TW"/>
        </w:rPr>
      </w:pPr>
      <w:bookmarkStart w:id="7" w:name="_Ref516345544"/>
      <w:r w:rsidRPr="004E76E7">
        <w:rPr>
          <w:rFonts w:eastAsiaTheme="minorEastAsia"/>
          <w:lang w:val="en-US" w:eastAsia="zh-TW"/>
        </w:rPr>
        <w:t xml:space="preserve">RAN4 has defined UE requirement for TCI state switch delays in 38.133 section 8.10 [1]. </w:t>
      </w:r>
      <w:r w:rsidR="00462494" w:rsidRPr="004E76E7">
        <w:rPr>
          <w:rFonts w:eastAsiaTheme="minorEastAsia"/>
          <w:lang w:val="en-US" w:eastAsia="zh-TW"/>
        </w:rPr>
        <w:t xml:space="preserve">In this paper, </w:t>
      </w:r>
      <w:r w:rsidR="00AE6311" w:rsidRPr="004E76E7">
        <w:rPr>
          <w:rFonts w:eastAsiaTheme="minorEastAsia"/>
          <w:lang w:val="en-US" w:eastAsia="zh-TW"/>
        </w:rPr>
        <w:t xml:space="preserve">we </w:t>
      </w:r>
      <w:r w:rsidR="00E5554B" w:rsidRPr="004E76E7">
        <w:rPr>
          <w:rFonts w:eastAsiaTheme="minorEastAsia"/>
          <w:lang w:val="en-US" w:eastAsia="zh-TW"/>
        </w:rPr>
        <w:t>will</w:t>
      </w:r>
      <w:r w:rsidR="00A51C54" w:rsidRPr="004E76E7">
        <w:rPr>
          <w:rFonts w:eastAsiaTheme="minorEastAsia"/>
          <w:lang w:val="en-US" w:eastAsia="zh-TW"/>
        </w:rPr>
        <w:t xml:space="preserve"> </w:t>
      </w:r>
      <w:r w:rsidRPr="004E76E7">
        <w:rPr>
          <w:rFonts w:eastAsiaTheme="minorEastAsia"/>
          <w:lang w:val="en-US" w:eastAsia="zh-TW"/>
        </w:rPr>
        <w:t xml:space="preserve">continue to </w:t>
      </w:r>
      <w:r w:rsidR="00A51C54" w:rsidRPr="004E76E7">
        <w:rPr>
          <w:rFonts w:eastAsiaTheme="minorEastAsia"/>
          <w:lang w:val="en-US" w:eastAsia="zh-TW"/>
        </w:rPr>
        <w:t xml:space="preserve">discuss </w:t>
      </w:r>
      <w:r w:rsidRPr="004E76E7">
        <w:rPr>
          <w:rFonts w:eastAsiaTheme="minorEastAsia"/>
          <w:lang w:val="en-US" w:eastAsia="zh-TW"/>
        </w:rPr>
        <w:t>some remaining issues</w:t>
      </w:r>
      <w:r w:rsidR="00871EDF" w:rsidRPr="004E76E7">
        <w:rPr>
          <w:rFonts w:eastAsiaTheme="minorEastAsia"/>
          <w:lang w:val="en-US" w:eastAsia="zh-TW"/>
        </w:rPr>
        <w:t xml:space="preserve"> </w:t>
      </w:r>
      <w:r w:rsidRPr="004E76E7">
        <w:rPr>
          <w:rFonts w:eastAsiaTheme="minorEastAsia"/>
          <w:lang w:val="en-US" w:eastAsia="zh-TW"/>
        </w:rPr>
        <w:t xml:space="preserve">on </w:t>
      </w:r>
      <w:r w:rsidR="00A51C54" w:rsidRPr="004E76E7">
        <w:rPr>
          <w:rFonts w:eastAsiaTheme="minorEastAsia"/>
          <w:lang w:val="en-US" w:eastAsia="zh-TW"/>
        </w:rPr>
        <w:t xml:space="preserve">active </w:t>
      </w:r>
      <w:r w:rsidR="004E76E7" w:rsidRPr="004E76E7">
        <w:rPr>
          <w:rFonts w:eastAsiaTheme="minorEastAsia"/>
          <w:lang w:val="en-US" w:eastAsia="zh-TW"/>
        </w:rPr>
        <w:t>TCI state</w:t>
      </w:r>
      <w:r w:rsidR="005C721D" w:rsidRPr="004E76E7">
        <w:rPr>
          <w:rFonts w:eastAsiaTheme="minorEastAsia"/>
          <w:lang w:val="en-US" w:eastAsia="zh-TW"/>
        </w:rPr>
        <w:t xml:space="preserve"> switch</w:t>
      </w:r>
      <w:r w:rsidR="00AE6311" w:rsidRPr="004E76E7">
        <w:rPr>
          <w:rFonts w:eastAsiaTheme="minorEastAsia"/>
          <w:lang w:val="en-US" w:eastAsia="zh-TW"/>
        </w:rPr>
        <w:t>.</w:t>
      </w:r>
      <w:r w:rsidR="00771F24" w:rsidRPr="004E76E7">
        <w:rPr>
          <w:rFonts w:eastAsiaTheme="minorEastAsia"/>
          <w:lang w:val="en-US" w:eastAsia="zh-TW"/>
        </w:rPr>
        <w:t xml:space="preserve"> </w:t>
      </w:r>
    </w:p>
    <w:p w:rsidR="00140825" w:rsidRDefault="00140825" w:rsidP="006F711C">
      <w:pPr>
        <w:pStyle w:val="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Uplink transmission</w:t>
      </w:r>
    </w:p>
    <w:p w:rsidR="00140825" w:rsidRDefault="00140825" w:rsidP="00140825">
      <w:pPr>
        <w:spacing w:before="120"/>
        <w:jc w:val="both"/>
        <w:rPr>
          <w:lang w:val="en-US" w:eastAsia="zh-CN"/>
        </w:rPr>
      </w:pPr>
      <w:r>
        <w:rPr>
          <w:rFonts w:eastAsiaTheme="minorEastAsia"/>
          <w:lang w:val="en-US" w:eastAsia="zh-TW"/>
        </w:rPr>
        <w:t xml:space="preserve">In current TCI state requirement, the UE </w:t>
      </w:r>
      <w:r w:rsidR="00211EB4" w:rsidRPr="00DD3199">
        <w:rPr>
          <w:lang w:val="en-US" w:eastAsia="zh-CN"/>
        </w:rPr>
        <w:t xml:space="preserve">shall be able to </w:t>
      </w:r>
      <w:r w:rsidRPr="00140825">
        <w:rPr>
          <w:lang w:val="en-US" w:eastAsia="zh-CN"/>
        </w:rPr>
        <w:t>transmit PUSCH</w:t>
      </w:r>
      <w:r w:rsidRPr="00DD3199">
        <w:rPr>
          <w:lang w:val="en-US" w:eastAsia="zh-CN"/>
        </w:rPr>
        <w:t xml:space="preserve">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w:t>
      </w:r>
      <w:r>
        <w:rPr>
          <w:lang w:val="en-US" w:eastAsia="zh-CN"/>
        </w:rPr>
        <w:t xml:space="preserve"> </w:t>
      </w:r>
      <w:r w:rsidRPr="00DD3199">
        <w:rPr>
          <w:lang w:val="en-US" w:eastAsia="zh-CN"/>
        </w:rPr>
        <w:t xml:space="preserve">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i/>
          <w:iCs/>
          <w:lang w:eastAsia="zh-CN"/>
        </w:rPr>
        <w:t>timeDurationForQCL</w:t>
      </w:r>
      <w:r>
        <w:rPr>
          <w:rFonts w:eastAsia="Malgun Gothic"/>
          <w:i/>
          <w:iCs/>
          <w:lang w:eastAsia="zh-CN"/>
        </w:rPr>
        <w:t xml:space="preserve"> </w:t>
      </w:r>
      <w:r>
        <w:rPr>
          <w:rFonts w:eastAsia="Malgun Gothic"/>
          <w:iCs/>
          <w:lang w:eastAsia="zh-CN"/>
        </w:rPr>
        <w:t xml:space="preserve">for DCI-based PDSCH TCI state switching and </w:t>
      </w:r>
      <w:r>
        <w:rPr>
          <w:rFonts w:eastAsia="Malgun Gothic"/>
          <w:lang w:eastAsia="zh-CN"/>
        </w:rPr>
        <w:t>t</w:t>
      </w:r>
      <w:r w:rsidRPr="00DD3199">
        <w:rPr>
          <w:rFonts w:eastAsia="Malgun Gothic"/>
          <w:lang w:eastAsia="zh-CN"/>
        </w:rPr>
        <w:t>he UE is not required to transmit PUCCH/PUSCH until the end of switching period</w:t>
      </w:r>
      <w:r>
        <w:rPr>
          <w:rFonts w:eastAsia="Malgun Gothic"/>
          <w:lang w:eastAsia="zh-CN"/>
        </w:rPr>
        <w:t xml:space="preserve"> for RRC-based PDCCH TCI state switching</w:t>
      </w:r>
      <w:r>
        <w:rPr>
          <w:lang w:val="en-US" w:eastAsia="zh-CN"/>
        </w:rPr>
        <w:t xml:space="preserve">. </w:t>
      </w:r>
    </w:p>
    <w:p w:rsidR="00140825" w:rsidRDefault="00140825" w:rsidP="00140825">
      <w:pPr>
        <w:spacing w:before="120"/>
        <w:jc w:val="both"/>
        <w:rPr>
          <w:rFonts w:eastAsia="Malgun Gothic"/>
          <w:lang w:val="en-US" w:eastAsia="zh-CN"/>
        </w:rPr>
      </w:pPr>
      <w:r w:rsidRPr="00140825">
        <w:rPr>
          <w:rFonts w:eastAsiaTheme="minorEastAsia"/>
          <w:lang w:val="en-US" w:eastAsia="zh-TW"/>
        </w:rPr>
        <w:t xml:space="preserve">Actually, PUSCH spatial relation is explicitly demonstrated in </w:t>
      </w:r>
      <w:r>
        <w:rPr>
          <w:rFonts w:eastAsiaTheme="minorEastAsia"/>
          <w:lang w:val="en-US" w:eastAsia="zh-TW"/>
        </w:rPr>
        <w:t xml:space="preserve">RAN1 </w:t>
      </w:r>
      <w:r w:rsidRPr="00140825">
        <w:rPr>
          <w:rFonts w:eastAsiaTheme="minorEastAsia"/>
          <w:lang w:val="en-US" w:eastAsia="zh-TW"/>
        </w:rPr>
        <w:t>spec and follows either the PUCCH or SRS spatial relation depending on the DCI command received, i.e., DCI format 0_0 or 0_1.</w:t>
      </w:r>
      <w:r>
        <w:rPr>
          <w:rFonts w:eastAsiaTheme="minorEastAsia"/>
          <w:lang w:val="en-US" w:eastAsia="zh-TW"/>
        </w:rPr>
        <w:t xml:space="preserve"> Thus, it’s not reasonable to say ‘</w:t>
      </w:r>
      <w:r w:rsidRPr="00140825">
        <w:rPr>
          <w:i/>
          <w:lang w:val="en-US" w:eastAsia="zh-CN"/>
        </w:rPr>
        <w:t xml:space="preserve">transmit PUSCH with target </w:t>
      </w:r>
      <w:r w:rsidRPr="00140825">
        <w:rPr>
          <w:rFonts w:eastAsia="Malgun Gothic"/>
          <w:i/>
          <w:lang w:val="en-US" w:eastAsia="zh-CN"/>
        </w:rPr>
        <w:t>TCI state</w:t>
      </w:r>
      <w:r>
        <w:rPr>
          <w:rFonts w:eastAsia="Malgun Gothic"/>
          <w:lang w:val="en-US" w:eastAsia="zh-CN"/>
        </w:rPr>
        <w:t xml:space="preserve">’ in TCI state switching requirement. </w:t>
      </w:r>
    </w:p>
    <w:p w:rsidR="00211EB4" w:rsidRDefault="00140825" w:rsidP="00140825">
      <w:pPr>
        <w:spacing w:before="120"/>
        <w:jc w:val="both"/>
        <w:rPr>
          <w:rFonts w:eastAsia="Malgun Gothic"/>
          <w:lang w:val="en-US" w:eastAsia="zh-CN"/>
        </w:rPr>
      </w:pPr>
      <w:r>
        <w:rPr>
          <w:rFonts w:eastAsia="Malgun Gothic"/>
          <w:lang w:val="en-US" w:eastAsia="zh-CN"/>
        </w:rPr>
        <w:t xml:space="preserve">In </w:t>
      </w:r>
      <w:r>
        <w:rPr>
          <w:rFonts w:eastAsia="Malgun Gothic"/>
          <w:lang w:eastAsia="zh-CN"/>
        </w:rPr>
        <w:t xml:space="preserve">RRC-based PDCCH TCI state switching, </w:t>
      </w:r>
      <w:r w:rsidR="00211EB4">
        <w:rPr>
          <w:rFonts w:eastAsia="Malgun Gothic"/>
          <w:lang w:eastAsia="zh-CN"/>
        </w:rPr>
        <w:t>we define this requirement for</w:t>
      </w:r>
      <w:r>
        <w:rPr>
          <w:rFonts w:eastAsia="Malgun Gothic"/>
          <w:lang w:eastAsia="zh-CN"/>
        </w:rPr>
        <w:t xml:space="preserve"> </w:t>
      </w:r>
      <w:r w:rsidR="00211EB4">
        <w:rPr>
          <w:rFonts w:eastAsia="Malgun Gothic"/>
          <w:lang w:eastAsia="zh-CN"/>
        </w:rPr>
        <w:t xml:space="preserve">a specific scenario that </w:t>
      </w:r>
      <w:r>
        <w:rPr>
          <w:rFonts w:eastAsia="Malgun Gothic"/>
          <w:lang w:eastAsia="zh-CN"/>
        </w:rPr>
        <w:t xml:space="preserve">only one TCI state </w:t>
      </w:r>
      <w:r w:rsidR="00211EB4">
        <w:rPr>
          <w:rFonts w:eastAsia="Malgun Gothic"/>
          <w:lang w:eastAsia="zh-CN"/>
        </w:rPr>
        <w:t xml:space="preserve">is </w:t>
      </w:r>
      <w:r>
        <w:rPr>
          <w:rFonts w:eastAsia="Malgun Gothic"/>
          <w:lang w:eastAsia="zh-CN"/>
        </w:rPr>
        <w:t xml:space="preserve">configured in RRC. </w:t>
      </w:r>
      <w:r w:rsidR="00211EB4">
        <w:rPr>
          <w:rFonts w:eastAsia="Malgun Gothic"/>
          <w:lang w:eastAsia="zh-CN"/>
        </w:rPr>
        <w:t>After</w:t>
      </w:r>
      <w:r>
        <w:rPr>
          <w:rFonts w:eastAsia="Malgun Gothic"/>
          <w:lang w:eastAsia="zh-CN"/>
        </w:rPr>
        <w:t xml:space="preserve"> RRC</w:t>
      </w:r>
      <w:r>
        <w:rPr>
          <w:rFonts w:eastAsia="Malgun Gothic"/>
          <w:lang w:val="en-US" w:eastAsia="zh-CN"/>
        </w:rPr>
        <w:t xml:space="preserve"> </w:t>
      </w:r>
      <w:r w:rsidR="00211EB4">
        <w:rPr>
          <w:rFonts w:eastAsia="Malgun Gothic"/>
          <w:lang w:val="en-US" w:eastAsia="zh-CN"/>
        </w:rPr>
        <w:t xml:space="preserve">reconfigures a new TCI state and before UE finishes the TCI state switching, the UE doesn’t have any information on the TCI state. Thus, </w:t>
      </w:r>
      <w:r w:rsidR="00211EB4">
        <w:rPr>
          <w:rFonts w:eastAsia="Malgun Gothic"/>
          <w:lang w:eastAsia="zh-CN"/>
        </w:rPr>
        <w:t xml:space="preserve">the scheduling restriction is defined on receive PDSCH/PDCCH. However, the PUCCH/PUSCH’s QCL relation is based on spatial relation </w:t>
      </w:r>
      <w:r w:rsidR="00211EB4" w:rsidRPr="00140825">
        <w:rPr>
          <w:rFonts w:eastAsiaTheme="minorEastAsia"/>
          <w:lang w:val="en-US" w:eastAsia="zh-TW"/>
        </w:rPr>
        <w:t>other than TCI state</w:t>
      </w:r>
      <w:r w:rsidR="00211EB4">
        <w:rPr>
          <w:rFonts w:eastAsiaTheme="minorEastAsia"/>
          <w:lang w:val="en-US" w:eastAsia="zh-TW"/>
        </w:rPr>
        <w:t>. When UE doesn’t know the TCI state, it doesn’t mean UE also doesn’t know the spatial relation. Thus, we suggest to delete all these descriptions related to uplink transmission in TCI state switching requirement.</w:t>
      </w:r>
    </w:p>
    <w:p w:rsidR="00140825" w:rsidRPr="00730F81" w:rsidRDefault="00140825" w:rsidP="00140825">
      <w:pPr>
        <w:rPr>
          <w:rFonts w:eastAsiaTheme="minorEastAsia"/>
          <w:lang w:val="en-US" w:eastAsia="zh-TW"/>
        </w:rPr>
      </w:pPr>
      <w:bookmarkStart w:id="8" w:name="_Ref36570132"/>
      <w:r w:rsidRPr="00730F81">
        <w:rPr>
          <w:rFonts w:ascii="Calibri" w:eastAsia="宋体" w:hAnsi="Calibri" w:cs="Arial"/>
          <w:b/>
          <w:bCs/>
          <w:i/>
        </w:rPr>
        <w:t xml:space="preserve">Proposal </w:t>
      </w:r>
      <w:r w:rsidRPr="00730F81">
        <w:rPr>
          <w:rFonts w:ascii="Calibri" w:eastAsia="宋体" w:hAnsi="Calibri" w:cs="Arial"/>
          <w:b/>
          <w:bCs/>
          <w:i/>
        </w:rPr>
        <w:fldChar w:fldCharType="begin"/>
      </w:r>
      <w:r w:rsidRPr="00730F81">
        <w:rPr>
          <w:rFonts w:ascii="Calibri" w:eastAsia="宋体" w:hAnsi="Calibri" w:cs="Arial"/>
          <w:b/>
          <w:bCs/>
          <w:i/>
        </w:rPr>
        <w:instrText xml:space="preserve"> SEQ Proposal \* ARABIC </w:instrText>
      </w:r>
      <w:r w:rsidRPr="00730F81">
        <w:rPr>
          <w:rFonts w:ascii="Calibri" w:eastAsia="宋体" w:hAnsi="Calibri" w:cs="Arial"/>
          <w:b/>
          <w:bCs/>
          <w:i/>
        </w:rPr>
        <w:fldChar w:fldCharType="separate"/>
      </w:r>
      <w:r w:rsidR="007560B8">
        <w:rPr>
          <w:rFonts w:ascii="Calibri" w:eastAsia="宋体" w:hAnsi="Calibri" w:cs="Arial"/>
          <w:b/>
          <w:bCs/>
          <w:i/>
          <w:noProof/>
        </w:rPr>
        <w:t>1</w:t>
      </w:r>
      <w:r w:rsidRPr="00730F81">
        <w:rPr>
          <w:rFonts w:ascii="Calibri" w:eastAsia="宋体" w:hAnsi="Calibri" w:cs="Arial"/>
          <w:b/>
          <w:bCs/>
          <w:i/>
        </w:rPr>
        <w:fldChar w:fldCharType="end"/>
      </w:r>
      <w:r w:rsidRPr="00730F81">
        <w:rPr>
          <w:rFonts w:ascii="Calibri" w:eastAsia="宋体" w:hAnsi="Calibri" w:cs="Arial"/>
          <w:b/>
          <w:bCs/>
          <w:i/>
        </w:rPr>
        <w:t>: Delete the description of uplink transmission behaviour in TCI state switching requirement.</w:t>
      </w:r>
      <w:bookmarkEnd w:id="8"/>
    </w:p>
    <w:p w:rsidR="006F711C" w:rsidRDefault="00140825" w:rsidP="006F711C">
      <w:pPr>
        <w:pStyle w:val="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Scheduling Restriction</w:t>
      </w:r>
    </w:p>
    <w:p w:rsidR="00211EB4" w:rsidRDefault="00211EB4" w:rsidP="00211EB4">
      <w:pPr>
        <w:rPr>
          <w:rFonts w:eastAsia="Malgun Gothic"/>
          <w:lang w:eastAsia="zh-CN"/>
        </w:rPr>
      </w:pPr>
      <w:r>
        <w:rPr>
          <w:rFonts w:eastAsiaTheme="minorEastAsia"/>
          <w:lang w:val="en-US" w:eastAsia="zh-TW"/>
        </w:rPr>
        <w:t>In RRC</w:t>
      </w:r>
      <w:r>
        <w:rPr>
          <w:rFonts w:eastAsia="Malgun Gothic"/>
          <w:lang w:eastAsia="zh-CN"/>
        </w:rPr>
        <w:t xml:space="preserve">-based PDCCH TCI state switching requirement, the UE is not required to receive PDCCH/PDSCH until the end of switching period. When UE is not required to receive PDSCH, the UE shall also not require to receive the CSI-RS whose purpose is for PDSCH CSI reporting. Actually, </w:t>
      </w:r>
      <w:r w:rsidRPr="00211EB4">
        <w:rPr>
          <w:rFonts w:eastAsia="Malgun Gothic"/>
          <w:lang w:eastAsia="zh-CN"/>
        </w:rPr>
        <w:t>th</w:t>
      </w:r>
      <w:r w:rsidR="00730F81">
        <w:rPr>
          <w:rFonts w:eastAsia="Malgun Gothic"/>
          <w:lang w:eastAsia="zh-CN"/>
        </w:rPr>
        <w:t>e</w:t>
      </w:r>
      <w:r w:rsidRPr="00211EB4">
        <w:rPr>
          <w:rFonts w:eastAsia="Malgun Gothic"/>
          <w:lang w:eastAsia="zh-CN"/>
        </w:rPr>
        <w:t xml:space="preserve"> scheduling restriction for CSI-RS was already captured </w:t>
      </w:r>
      <w:r>
        <w:rPr>
          <w:rFonts w:eastAsia="Malgun Gothic"/>
          <w:lang w:eastAsia="zh-CN"/>
        </w:rPr>
        <w:t>in other RAN4 spec</w:t>
      </w:r>
      <w:r w:rsidRPr="00211EB4">
        <w:rPr>
          <w:rFonts w:eastAsia="Malgun Gothic"/>
          <w:lang w:eastAsia="zh-CN"/>
        </w:rPr>
        <w:t xml:space="preserve">. such as </w:t>
      </w:r>
      <w:r>
        <w:rPr>
          <w:rFonts w:eastAsia="Malgun Gothic"/>
          <w:lang w:eastAsia="zh-CN"/>
        </w:rPr>
        <w:t>m</w:t>
      </w:r>
      <w:r w:rsidRPr="00211EB4">
        <w:rPr>
          <w:rFonts w:eastAsia="Malgun Gothic"/>
          <w:lang w:eastAsia="zh-CN"/>
        </w:rPr>
        <w:t xml:space="preserve">easurement, </w:t>
      </w:r>
      <w:r>
        <w:rPr>
          <w:rFonts w:eastAsia="Malgun Gothic"/>
          <w:lang w:eastAsia="zh-CN"/>
        </w:rPr>
        <w:t>l</w:t>
      </w:r>
      <w:r w:rsidRPr="00211EB4">
        <w:rPr>
          <w:rFonts w:eastAsia="Malgun Gothic"/>
          <w:lang w:eastAsia="zh-CN"/>
        </w:rPr>
        <w:t xml:space="preserve">ink </w:t>
      </w:r>
      <w:r>
        <w:rPr>
          <w:rFonts w:eastAsia="Malgun Gothic"/>
          <w:lang w:eastAsia="zh-CN"/>
        </w:rPr>
        <w:t>r</w:t>
      </w:r>
      <w:r w:rsidRPr="00211EB4">
        <w:rPr>
          <w:rFonts w:eastAsia="Malgun Gothic"/>
          <w:lang w:eastAsia="zh-CN"/>
        </w:rPr>
        <w:t>ecovery etc</w:t>
      </w:r>
      <w:r>
        <w:rPr>
          <w:rFonts w:eastAsia="Malgun Gothic"/>
          <w:lang w:eastAsia="zh-CN"/>
        </w:rPr>
        <w:t>. It’s better to align the specification’s description for each section.</w:t>
      </w:r>
    </w:p>
    <w:tbl>
      <w:tblPr>
        <w:tblStyle w:val="a8"/>
        <w:tblW w:w="0" w:type="auto"/>
        <w:tblLook w:val="04A0" w:firstRow="1" w:lastRow="0" w:firstColumn="1" w:lastColumn="0" w:noHBand="0" w:noVBand="1"/>
      </w:tblPr>
      <w:tblGrid>
        <w:gridCol w:w="9629"/>
      </w:tblGrid>
      <w:tr w:rsidR="00730F81" w:rsidTr="00730F81">
        <w:tc>
          <w:tcPr>
            <w:tcW w:w="9629" w:type="dxa"/>
          </w:tcPr>
          <w:p w:rsidR="00730F81" w:rsidRPr="00730F81" w:rsidRDefault="00730F81" w:rsidP="00730F81">
            <w:pPr>
              <w:spacing w:after="0"/>
              <w:rPr>
                <w:b/>
                <w:bCs/>
                <w:i/>
                <w:iCs/>
                <w:color w:val="1F497D"/>
                <w:lang w:val="en-US" w:eastAsia="zh-CN"/>
              </w:rPr>
            </w:pPr>
            <w:r w:rsidRPr="00730F81">
              <w:rPr>
                <w:b/>
                <w:bCs/>
                <w:i/>
                <w:iCs/>
                <w:color w:val="1F497D"/>
              </w:rPr>
              <w:t>Section 8.5.7.2</w:t>
            </w:r>
          </w:p>
          <w:p w:rsidR="00730F81" w:rsidRPr="00730F81" w:rsidRDefault="00730F81" w:rsidP="00730F81">
            <w:pPr>
              <w:pStyle w:val="Default"/>
              <w:rPr>
                <w:rFonts w:ascii="Times New Roman" w:hAnsi="Times New Roman" w:cs="Times New Roman"/>
                <w:sz w:val="18"/>
                <w:szCs w:val="18"/>
              </w:rPr>
            </w:pPr>
            <w:r w:rsidRPr="00730F81">
              <w:rPr>
                <w:rFonts w:ascii="Times New Roman" w:hAnsi="Times New Roman" w:cs="Times New Roman"/>
                <w:sz w:val="18"/>
                <w:szCs w:val="18"/>
              </w:rPr>
              <w:t xml:space="preserve">For UEs which support </w:t>
            </w:r>
            <w:r w:rsidRPr="00730F81">
              <w:rPr>
                <w:rFonts w:ascii="Times New Roman" w:hAnsi="Times New Roman" w:cs="Times New Roman"/>
                <w:i/>
                <w:iCs/>
                <w:sz w:val="18"/>
                <w:szCs w:val="18"/>
              </w:rPr>
              <w:t xml:space="preserve">simultaneousRxDataSSB-DiffNumerology </w:t>
            </w:r>
            <w:r w:rsidRPr="00730F81">
              <w:rPr>
                <w:rFonts w:ascii="Times New Roman" w:hAnsi="Times New Roman" w:cs="Times New Roman"/>
                <w:sz w:val="18"/>
                <w:szCs w:val="18"/>
              </w:rPr>
              <w:t xml:space="preserve">[14] there are no restrictions on scheduling availability due to beam failure detection when SSB is configured as BFD. For UEs which do not support </w:t>
            </w:r>
            <w:r w:rsidRPr="00730F81">
              <w:rPr>
                <w:rFonts w:ascii="Times New Roman" w:hAnsi="Times New Roman" w:cs="Times New Roman"/>
                <w:i/>
                <w:iCs/>
                <w:sz w:val="18"/>
                <w:szCs w:val="18"/>
              </w:rPr>
              <w:t xml:space="preserve">simultaneousRxDataSSB-DiffNumerology </w:t>
            </w:r>
            <w:r w:rsidRPr="00730F81">
              <w:rPr>
                <w:rFonts w:ascii="Times New Roman" w:hAnsi="Times New Roman" w:cs="Times New Roman"/>
                <w:sz w:val="18"/>
                <w:szCs w:val="18"/>
              </w:rPr>
              <w:t xml:space="preserve">[14] the following restrictions apply due to beam failure detection when SSB is configured as BFD. </w:t>
            </w:r>
          </w:p>
          <w:p w:rsidR="00730F81" w:rsidRPr="00730F81" w:rsidRDefault="00730F81" w:rsidP="00730F81">
            <w:pPr>
              <w:spacing w:after="0"/>
              <w:rPr>
                <w:sz w:val="18"/>
                <w:szCs w:val="18"/>
              </w:rPr>
            </w:pPr>
            <w:r w:rsidRPr="00730F81">
              <w:rPr>
                <w:sz w:val="18"/>
                <w:szCs w:val="18"/>
              </w:rPr>
              <w:t xml:space="preserve">- The UE is not expected to transmit PUCCH, PUSCH or SRS or </w:t>
            </w:r>
            <w:r w:rsidRPr="00730F81">
              <w:rPr>
                <w:sz w:val="18"/>
                <w:szCs w:val="18"/>
                <w:highlight w:val="yellow"/>
              </w:rPr>
              <w:t>receive PDCCH, PDSCH or CSI-RS for tracking or CSI-RS for CQI</w:t>
            </w:r>
            <w:r w:rsidRPr="00730F81">
              <w:rPr>
                <w:sz w:val="18"/>
                <w:szCs w:val="18"/>
              </w:rPr>
              <w:t xml:space="preserve"> on SSB symbols to be measured for beam failure detection.</w:t>
            </w:r>
          </w:p>
          <w:p w:rsidR="00730F81" w:rsidRPr="00730F81" w:rsidRDefault="00730F81" w:rsidP="00730F81">
            <w:pPr>
              <w:spacing w:after="0"/>
              <w:rPr>
                <w:sz w:val="18"/>
                <w:szCs w:val="18"/>
              </w:rPr>
            </w:pPr>
          </w:p>
          <w:p w:rsidR="00730F81" w:rsidRPr="00730F81" w:rsidRDefault="00730F81" w:rsidP="00730F81">
            <w:pPr>
              <w:spacing w:after="0"/>
              <w:rPr>
                <w:b/>
                <w:bCs/>
                <w:i/>
                <w:iCs/>
                <w:color w:val="1F497D"/>
              </w:rPr>
            </w:pPr>
            <w:r w:rsidRPr="00730F81">
              <w:rPr>
                <w:b/>
                <w:bCs/>
                <w:i/>
                <w:iCs/>
                <w:color w:val="1F497D"/>
              </w:rPr>
              <w:t>Section 9.2.5.3.2</w:t>
            </w:r>
          </w:p>
          <w:p w:rsidR="00730F81" w:rsidRPr="00730F81" w:rsidRDefault="00730F81" w:rsidP="00730F81">
            <w:pPr>
              <w:pStyle w:val="Default"/>
              <w:rPr>
                <w:rFonts w:ascii="Times New Roman" w:hAnsi="Times New Roman" w:cs="Times New Roman"/>
                <w:sz w:val="18"/>
                <w:szCs w:val="18"/>
              </w:rPr>
            </w:pPr>
            <w:r w:rsidRPr="00730F81">
              <w:rPr>
                <w:rFonts w:ascii="Times New Roman" w:hAnsi="Times New Roman" w:cs="Times New Roman"/>
                <w:sz w:val="18"/>
                <w:szCs w:val="18"/>
              </w:rPr>
              <w:t xml:space="preserve">For UE which do not support </w:t>
            </w:r>
            <w:r w:rsidRPr="00730F81">
              <w:rPr>
                <w:rFonts w:ascii="Times New Roman" w:hAnsi="Times New Roman" w:cs="Times New Roman"/>
                <w:i/>
                <w:iCs/>
                <w:sz w:val="18"/>
                <w:szCs w:val="18"/>
              </w:rPr>
              <w:t xml:space="preserve">simultaneousRxDataSSB-DiffNumerology </w:t>
            </w:r>
            <w:r w:rsidRPr="00730F81">
              <w:rPr>
                <w:rFonts w:ascii="Times New Roman" w:hAnsi="Times New Roman" w:cs="Times New Roman"/>
                <w:sz w:val="18"/>
                <w:szCs w:val="18"/>
              </w:rPr>
              <w:t xml:space="preserve">[14] the following restrictions apply due to SS-RSRP/RSRQ/SINR measurement </w:t>
            </w:r>
          </w:p>
          <w:p w:rsidR="00730F81" w:rsidRPr="00730F81" w:rsidRDefault="00730F81" w:rsidP="00730F81">
            <w:pPr>
              <w:pStyle w:val="Default"/>
              <w:rPr>
                <w:rFonts w:ascii="Times New Roman" w:hAnsi="Times New Roman" w:cs="Times New Roman"/>
                <w:sz w:val="18"/>
                <w:szCs w:val="18"/>
              </w:rPr>
            </w:pPr>
            <w:r w:rsidRPr="00730F81">
              <w:rPr>
                <w:rFonts w:ascii="Times New Roman" w:hAnsi="Times New Roman" w:cs="Times New Roman"/>
                <w:sz w:val="18"/>
                <w:szCs w:val="18"/>
              </w:rPr>
              <w:t xml:space="preserve">- If </w:t>
            </w:r>
            <w:r w:rsidRPr="00730F81">
              <w:rPr>
                <w:rFonts w:ascii="Times New Roman" w:hAnsi="Times New Roman" w:cs="Times New Roman"/>
                <w:i/>
                <w:iCs/>
                <w:sz w:val="18"/>
                <w:szCs w:val="18"/>
              </w:rPr>
              <w:t xml:space="preserve">deriveSSB_IndexFromCell </w:t>
            </w:r>
            <w:r w:rsidRPr="00730F81">
              <w:rPr>
                <w:rFonts w:ascii="Times New Roman" w:hAnsi="Times New Roman" w:cs="Times New Roman"/>
                <w:sz w:val="18"/>
                <w:szCs w:val="18"/>
              </w:rPr>
              <w:t>is enabled the UE is not expected to transmit PUCCH/PUSCH/SRS or receive PDCCH/PDSCH/TRS/</w:t>
            </w:r>
            <w:r w:rsidRPr="00730F81">
              <w:rPr>
                <w:rFonts w:ascii="Times New Roman" w:hAnsi="Times New Roman" w:cs="Times New Roman"/>
                <w:sz w:val="18"/>
                <w:szCs w:val="18"/>
                <w:highlight w:val="yellow"/>
              </w:rPr>
              <w:t>CSI-RS for CQI</w:t>
            </w:r>
            <w:r w:rsidRPr="00730F81">
              <w:rPr>
                <w:rFonts w:ascii="Times New Roman" w:hAnsi="Times New Roman" w:cs="Times New Roman"/>
                <w:sz w:val="18"/>
                <w:szCs w:val="18"/>
              </w:rPr>
              <w:t xml:space="preserve"> on SSB symbols to be measured, and on 1 data symbol before each consecutive SSB symbols to be measured and 1 data symbol after each consecutive SSB symbols to be measured within SMTC window duration. If the high layer in TS 38.331 [2] signaling of </w:t>
            </w:r>
            <w:r w:rsidRPr="00730F81">
              <w:rPr>
                <w:rFonts w:ascii="Times New Roman" w:hAnsi="Times New Roman" w:cs="Times New Roman"/>
                <w:i/>
                <w:iCs/>
                <w:sz w:val="18"/>
                <w:szCs w:val="18"/>
              </w:rPr>
              <w:t xml:space="preserve">smtc2 </w:t>
            </w:r>
            <w:r w:rsidRPr="00730F81">
              <w:rPr>
                <w:rFonts w:ascii="Times New Roman" w:hAnsi="Times New Roman" w:cs="Times New Roman"/>
                <w:sz w:val="18"/>
                <w:szCs w:val="18"/>
              </w:rPr>
              <w:t xml:space="preserve">is configured, the SMTC periodicity follows </w:t>
            </w:r>
            <w:r w:rsidRPr="00730F81">
              <w:rPr>
                <w:rFonts w:ascii="Times New Roman" w:hAnsi="Times New Roman" w:cs="Times New Roman"/>
                <w:i/>
                <w:iCs/>
                <w:sz w:val="18"/>
                <w:szCs w:val="18"/>
              </w:rPr>
              <w:t>smtc2</w:t>
            </w:r>
            <w:r w:rsidRPr="00730F81">
              <w:rPr>
                <w:rFonts w:ascii="Times New Roman" w:hAnsi="Times New Roman" w:cs="Times New Roman"/>
                <w:sz w:val="18"/>
                <w:szCs w:val="18"/>
              </w:rPr>
              <w:t xml:space="preserve">; Otherwise SMTC periodicity follows </w:t>
            </w:r>
            <w:r w:rsidRPr="00730F81">
              <w:rPr>
                <w:rFonts w:ascii="Times New Roman" w:hAnsi="Times New Roman" w:cs="Times New Roman"/>
                <w:i/>
                <w:iCs/>
                <w:sz w:val="18"/>
                <w:szCs w:val="18"/>
              </w:rPr>
              <w:t xml:space="preserve">smtc1. </w:t>
            </w:r>
          </w:p>
          <w:p w:rsidR="00730F81" w:rsidRDefault="00730F81" w:rsidP="00730F81">
            <w:pPr>
              <w:spacing w:after="0"/>
              <w:rPr>
                <w:rFonts w:eastAsiaTheme="minorEastAsia"/>
                <w:lang w:val="en-US" w:eastAsia="zh-TW"/>
              </w:rPr>
            </w:pPr>
            <w:r w:rsidRPr="00730F81">
              <w:rPr>
                <w:sz w:val="18"/>
                <w:szCs w:val="18"/>
              </w:rPr>
              <w:t xml:space="preserve">- If </w:t>
            </w:r>
            <w:r w:rsidRPr="00730F81">
              <w:rPr>
                <w:i/>
                <w:iCs/>
                <w:sz w:val="18"/>
                <w:szCs w:val="18"/>
              </w:rPr>
              <w:t xml:space="preserve">deriveSSB_IndexFromCell </w:t>
            </w:r>
            <w:r w:rsidRPr="00730F81">
              <w:rPr>
                <w:sz w:val="18"/>
                <w:szCs w:val="18"/>
              </w:rPr>
              <w:t>is not enabled the UE is not expected to transmit PUCCH/PUSCH/SRS or receive PDCCH/PDSCH/TRS/</w:t>
            </w:r>
            <w:r w:rsidRPr="00730F81">
              <w:rPr>
                <w:sz w:val="18"/>
                <w:szCs w:val="18"/>
                <w:highlight w:val="yellow"/>
              </w:rPr>
              <w:t>CSI-RS for CQI</w:t>
            </w:r>
            <w:r w:rsidRPr="00730F81">
              <w:rPr>
                <w:sz w:val="18"/>
                <w:szCs w:val="18"/>
              </w:rPr>
              <w:t xml:space="preserve"> on all symbols within SMTC window duration. If the high layer in TS 38.331 [2] signaling of </w:t>
            </w:r>
            <w:r w:rsidRPr="00730F81">
              <w:rPr>
                <w:i/>
                <w:iCs/>
                <w:sz w:val="18"/>
                <w:szCs w:val="18"/>
              </w:rPr>
              <w:t xml:space="preserve">smtc2 </w:t>
            </w:r>
            <w:r w:rsidRPr="00730F81">
              <w:rPr>
                <w:sz w:val="18"/>
                <w:szCs w:val="18"/>
              </w:rPr>
              <w:t xml:space="preserve">is configured, the SMTC periodicity follows </w:t>
            </w:r>
            <w:r w:rsidRPr="00730F81">
              <w:rPr>
                <w:i/>
                <w:iCs/>
                <w:sz w:val="18"/>
                <w:szCs w:val="18"/>
              </w:rPr>
              <w:t>smtc2</w:t>
            </w:r>
            <w:r w:rsidRPr="00730F81">
              <w:rPr>
                <w:sz w:val="18"/>
                <w:szCs w:val="18"/>
              </w:rPr>
              <w:t xml:space="preserve">; Otherwise SMTC periodicity follows </w:t>
            </w:r>
            <w:r w:rsidRPr="00730F81">
              <w:rPr>
                <w:i/>
                <w:iCs/>
                <w:sz w:val="18"/>
                <w:szCs w:val="18"/>
              </w:rPr>
              <w:t>smtc1.</w:t>
            </w:r>
          </w:p>
        </w:tc>
      </w:tr>
    </w:tbl>
    <w:p w:rsidR="00730F81" w:rsidRPr="00211EB4" w:rsidRDefault="00730F81" w:rsidP="00211EB4">
      <w:pPr>
        <w:rPr>
          <w:rFonts w:eastAsiaTheme="minorEastAsia"/>
          <w:lang w:val="en-US" w:eastAsia="zh-TW"/>
        </w:rPr>
      </w:pPr>
    </w:p>
    <w:p w:rsidR="002E0232" w:rsidRPr="00730F81" w:rsidRDefault="00F836FC" w:rsidP="00311321">
      <w:pPr>
        <w:pStyle w:val="a4"/>
        <w:rPr>
          <w:rFonts w:ascii="Calibri" w:hAnsi="Calibri" w:cs="Arial"/>
          <w:bCs/>
          <w:i/>
        </w:rPr>
      </w:pPr>
      <w:bookmarkStart w:id="9" w:name="_Ref31297710"/>
      <w:bookmarkStart w:id="10" w:name="_Ref36483872"/>
      <w:r w:rsidRPr="00730F81">
        <w:rPr>
          <w:rFonts w:ascii="Calibri" w:hAnsi="Calibri" w:cs="Arial"/>
          <w:bCs/>
          <w:i/>
        </w:rPr>
        <w:t xml:space="preserve">Proposal </w:t>
      </w:r>
      <w:r w:rsidRPr="00730F81">
        <w:rPr>
          <w:rFonts w:ascii="Calibri" w:hAnsi="Calibri" w:cs="Arial"/>
          <w:bCs/>
          <w:i/>
        </w:rPr>
        <w:fldChar w:fldCharType="begin"/>
      </w:r>
      <w:r w:rsidRPr="00730F81">
        <w:rPr>
          <w:rFonts w:ascii="Calibri" w:hAnsi="Calibri" w:cs="Arial"/>
          <w:bCs/>
          <w:i/>
        </w:rPr>
        <w:instrText xml:space="preserve"> SEQ Proposal \* ARABIC </w:instrText>
      </w:r>
      <w:r w:rsidRPr="00730F81">
        <w:rPr>
          <w:rFonts w:ascii="Calibri" w:hAnsi="Calibri" w:cs="Arial"/>
          <w:bCs/>
          <w:i/>
        </w:rPr>
        <w:fldChar w:fldCharType="separate"/>
      </w:r>
      <w:r w:rsidR="007560B8">
        <w:rPr>
          <w:rFonts w:ascii="Calibri" w:hAnsi="Calibri" w:cs="Arial"/>
          <w:bCs/>
          <w:i/>
          <w:noProof/>
        </w:rPr>
        <w:t>2</w:t>
      </w:r>
      <w:r w:rsidRPr="00730F81">
        <w:rPr>
          <w:rFonts w:ascii="Calibri" w:hAnsi="Calibri" w:cs="Arial"/>
          <w:bCs/>
          <w:i/>
        </w:rPr>
        <w:fldChar w:fldCharType="end"/>
      </w:r>
      <w:r w:rsidRPr="00730F81">
        <w:rPr>
          <w:rFonts w:ascii="Calibri" w:hAnsi="Calibri" w:cs="Arial"/>
          <w:bCs/>
          <w:i/>
        </w:rPr>
        <w:t xml:space="preserve">: </w:t>
      </w:r>
      <w:bookmarkEnd w:id="9"/>
      <w:r w:rsidR="00311321" w:rsidRPr="007560B8">
        <w:rPr>
          <w:rFonts w:ascii="Calibri" w:hAnsi="Calibri" w:cs="Arial"/>
          <w:bCs/>
          <w:i/>
        </w:rPr>
        <w:t xml:space="preserve">To keep consistency to scheduling restriction requirement in </w:t>
      </w:r>
      <w:r w:rsidR="007560B8" w:rsidRPr="007560B8">
        <w:rPr>
          <w:rFonts w:ascii="Calibri" w:hAnsi="Calibri" w:cs="Arial"/>
          <w:bCs/>
          <w:i/>
        </w:rPr>
        <w:t xml:space="preserve">Section </w:t>
      </w:r>
      <w:r w:rsidR="007560B8">
        <w:rPr>
          <w:rFonts w:ascii="Calibri" w:hAnsi="Calibri" w:cs="Arial"/>
          <w:bCs/>
          <w:i/>
        </w:rPr>
        <w:t xml:space="preserve">8.5.7.2 and </w:t>
      </w:r>
      <w:r w:rsidR="00311321" w:rsidRPr="007560B8">
        <w:rPr>
          <w:rFonts w:ascii="Calibri" w:hAnsi="Calibri" w:cs="Arial"/>
          <w:bCs/>
          <w:i/>
        </w:rPr>
        <w:t>Section 9.2.5.3.2,</w:t>
      </w:r>
      <w:r w:rsidR="00311321" w:rsidRPr="00730F81">
        <w:rPr>
          <w:rFonts w:ascii="Calibri" w:hAnsi="Calibri" w:cs="Arial"/>
          <w:bCs/>
          <w:i/>
        </w:rPr>
        <w:t xml:space="preserve"> </w:t>
      </w:r>
      <w:r w:rsidR="007560B8">
        <w:rPr>
          <w:rFonts w:ascii="Calibri" w:hAnsi="Calibri" w:cs="Arial"/>
          <w:bCs/>
          <w:i/>
        </w:rPr>
        <w:t>s</w:t>
      </w:r>
      <w:r w:rsidR="00730F81" w:rsidRPr="00730F81">
        <w:rPr>
          <w:rFonts w:ascii="Calibri" w:hAnsi="Calibri" w:cs="Arial"/>
          <w:bCs/>
          <w:i/>
        </w:rPr>
        <w:t xml:space="preserve">cheduling restriction shall be also applied to CSI-RS for </w:t>
      </w:r>
      <w:r w:rsidR="00054F94">
        <w:rPr>
          <w:rFonts w:ascii="Calibri" w:hAnsi="Calibri" w:cs="Arial"/>
          <w:bCs/>
          <w:i/>
        </w:rPr>
        <w:t>CQI</w:t>
      </w:r>
      <w:r w:rsidR="00730F81">
        <w:rPr>
          <w:rFonts w:ascii="Calibri" w:hAnsi="Calibri" w:cs="Arial"/>
          <w:bCs/>
          <w:i/>
        </w:rPr>
        <w:t xml:space="preserve"> in TCI state switching</w:t>
      </w:r>
      <w:r w:rsidR="007F3D06" w:rsidRPr="00730F81">
        <w:rPr>
          <w:rFonts w:ascii="Calibri" w:hAnsi="Calibri" w:cs="Arial"/>
          <w:bCs/>
          <w:i/>
        </w:rPr>
        <w:t>.</w:t>
      </w:r>
      <w:bookmarkEnd w:id="10"/>
      <w:r w:rsidR="00DC3E65" w:rsidRPr="00730F81">
        <w:rPr>
          <w:rFonts w:ascii="Calibri" w:hAnsi="Calibri" w:cs="Arial"/>
          <w:bCs/>
          <w:i/>
        </w:rPr>
        <w:t xml:space="preserve"> </w:t>
      </w:r>
    </w:p>
    <w:bookmarkEnd w:id="7"/>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5D0611" w:rsidRDefault="00085372" w:rsidP="00ED1FA9">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w:t>
      </w:r>
      <w:r w:rsidR="00730F81">
        <w:rPr>
          <w:rFonts w:asciiTheme="minorHAnsi" w:eastAsia="PMingLiU" w:hAnsiTheme="minorHAnsi" w:cs="Calibri"/>
          <w:color w:val="0D0D0D"/>
          <w:sz w:val="22"/>
          <w:szCs w:val="22"/>
          <w:lang w:eastAsia="zh-TW"/>
        </w:rPr>
        <w:t xml:space="preserve">remaining </w:t>
      </w:r>
      <w:r w:rsidR="00864962" w:rsidRPr="008B32E1">
        <w:rPr>
          <w:rFonts w:asciiTheme="minorHAnsi" w:eastAsia="PMingLiU" w:hAnsiTheme="minorHAnsi" w:cs="Calibri"/>
          <w:color w:val="0D0D0D"/>
          <w:sz w:val="22"/>
          <w:szCs w:val="22"/>
          <w:lang w:eastAsia="zh-TW"/>
        </w:rPr>
        <w:t xml:space="preserve">issues </w:t>
      </w:r>
      <w:r w:rsidR="00EA2A7C" w:rsidRPr="008B32E1">
        <w:rPr>
          <w:rFonts w:asciiTheme="minorHAnsi" w:hAnsiTheme="minorHAnsi"/>
          <w:sz w:val="22"/>
          <w:szCs w:val="22"/>
          <w:lang w:eastAsia="zh-TW"/>
        </w:rPr>
        <w:t>for</w:t>
      </w:r>
      <w:r w:rsidR="00730F81">
        <w:rPr>
          <w:rFonts w:asciiTheme="minorHAnsi" w:hAnsiTheme="minorHAnsi"/>
          <w:sz w:val="22"/>
          <w:szCs w:val="22"/>
          <w:lang w:eastAsia="zh-TW"/>
        </w:rPr>
        <w:t xml:space="preserve"> TCI state</w:t>
      </w:r>
      <w:r w:rsidR="00EA2A7C" w:rsidRPr="008B32E1">
        <w:rPr>
          <w:rFonts w:asciiTheme="minorHAnsi" w:hAnsiTheme="minorHAnsi"/>
          <w:sz w:val="22"/>
          <w:szCs w:val="22"/>
          <w:lang w:eastAsia="zh-TW"/>
        </w:rPr>
        <w:t xml:space="preserve"> switch</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proposals:</w:t>
      </w:r>
    </w:p>
    <w:p w:rsidR="00730F81" w:rsidRDefault="00730F81" w:rsidP="00ED1FA9">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_Ref36570132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7560B8" w:rsidRPr="00730F81">
        <w:rPr>
          <w:rFonts w:ascii="Calibri" w:eastAsia="宋体" w:hAnsi="Calibri" w:cs="Arial"/>
          <w:b/>
          <w:bCs/>
          <w:i/>
        </w:rPr>
        <w:t xml:space="preserve">Proposal </w:t>
      </w:r>
      <w:r w:rsidR="007560B8">
        <w:rPr>
          <w:rFonts w:ascii="Calibri" w:eastAsia="宋体" w:hAnsi="Calibri" w:cs="Arial"/>
          <w:b/>
          <w:bCs/>
          <w:i/>
          <w:noProof/>
        </w:rPr>
        <w:t>1</w:t>
      </w:r>
      <w:r w:rsidR="007560B8" w:rsidRPr="00730F81">
        <w:rPr>
          <w:rFonts w:ascii="Calibri" w:eastAsia="宋体" w:hAnsi="Calibri" w:cs="Arial"/>
          <w:b/>
          <w:bCs/>
          <w:i/>
        </w:rPr>
        <w:t>: Delete the description of uplink transmission behaviour in TCI state switching requirement.</w:t>
      </w:r>
      <w:r>
        <w:rPr>
          <w:rFonts w:asciiTheme="minorHAnsi" w:eastAsia="PMingLiU" w:hAnsiTheme="minorHAnsi" w:cs="Calibri"/>
          <w:color w:val="0D0D0D"/>
          <w:sz w:val="22"/>
          <w:szCs w:val="22"/>
          <w:lang w:eastAsia="zh-TW"/>
        </w:rPr>
        <w:fldChar w:fldCharType="end"/>
      </w:r>
    </w:p>
    <w:p w:rsidR="00730F81" w:rsidRPr="007560B8" w:rsidRDefault="00730F81" w:rsidP="00ED1FA9">
      <w:pPr>
        <w:jc w:val="both"/>
        <w:rPr>
          <w:rFonts w:asciiTheme="minorHAnsi" w:eastAsia="PMingLiU" w:hAnsiTheme="minorHAnsi" w:cs="Calibri"/>
          <w:b/>
          <w:i/>
          <w:color w:val="0D0D0D"/>
          <w:sz w:val="22"/>
          <w:szCs w:val="22"/>
          <w:lang w:eastAsia="zh-TW"/>
        </w:rPr>
      </w:pPr>
      <w:r w:rsidRPr="007560B8">
        <w:rPr>
          <w:rFonts w:asciiTheme="minorHAnsi" w:eastAsia="PMingLiU" w:hAnsiTheme="minorHAnsi" w:cs="Calibri"/>
          <w:b/>
          <w:i/>
          <w:color w:val="0D0D0D"/>
          <w:sz w:val="22"/>
          <w:szCs w:val="22"/>
          <w:lang w:eastAsia="zh-TW"/>
        </w:rPr>
        <w:fldChar w:fldCharType="begin"/>
      </w:r>
      <w:r w:rsidRPr="007560B8">
        <w:rPr>
          <w:rFonts w:asciiTheme="minorHAnsi" w:eastAsia="PMingLiU" w:hAnsiTheme="minorHAnsi" w:cs="Calibri"/>
          <w:b/>
          <w:i/>
          <w:color w:val="0D0D0D"/>
          <w:sz w:val="22"/>
          <w:szCs w:val="22"/>
          <w:lang w:eastAsia="zh-TW"/>
        </w:rPr>
        <w:instrText xml:space="preserve"> REF _Ref36483872 \h  \* MERGEFORMAT </w:instrText>
      </w:r>
      <w:r w:rsidRPr="007560B8">
        <w:rPr>
          <w:rFonts w:asciiTheme="minorHAnsi" w:eastAsia="PMingLiU" w:hAnsiTheme="minorHAnsi" w:cs="Calibri"/>
          <w:b/>
          <w:i/>
          <w:color w:val="0D0D0D"/>
          <w:sz w:val="22"/>
          <w:szCs w:val="22"/>
          <w:lang w:eastAsia="zh-TW"/>
        </w:rPr>
      </w:r>
      <w:r w:rsidRPr="007560B8">
        <w:rPr>
          <w:rFonts w:asciiTheme="minorHAnsi" w:eastAsia="PMingLiU" w:hAnsiTheme="minorHAnsi" w:cs="Calibri"/>
          <w:b/>
          <w:i/>
          <w:color w:val="0D0D0D"/>
          <w:sz w:val="22"/>
          <w:szCs w:val="22"/>
          <w:lang w:eastAsia="zh-TW"/>
        </w:rPr>
        <w:fldChar w:fldCharType="separate"/>
      </w:r>
      <w:r w:rsidR="007560B8" w:rsidRPr="007560B8">
        <w:rPr>
          <w:rFonts w:ascii="Calibri" w:hAnsi="Calibri" w:cs="Arial"/>
          <w:b/>
          <w:bCs/>
          <w:i/>
        </w:rPr>
        <w:t xml:space="preserve">Proposal </w:t>
      </w:r>
      <w:r w:rsidR="007560B8" w:rsidRPr="007560B8">
        <w:rPr>
          <w:rFonts w:ascii="Calibri" w:hAnsi="Calibri" w:cs="Arial"/>
          <w:b/>
          <w:bCs/>
          <w:i/>
          <w:noProof/>
        </w:rPr>
        <w:t>2</w:t>
      </w:r>
      <w:r w:rsidR="007560B8" w:rsidRPr="007560B8">
        <w:rPr>
          <w:rFonts w:ascii="Calibri" w:hAnsi="Calibri" w:cs="Arial"/>
          <w:b/>
          <w:bCs/>
          <w:i/>
        </w:rPr>
        <w:t>: To keep consistency to scheduling restriction requirement in Section 8.5.7.2 and Section 9.2.5.3.2, scheduling restriction shall be also applied to CSI-RS for CQI in TCI state switching.</w:t>
      </w:r>
      <w:r w:rsidRPr="007560B8">
        <w:rPr>
          <w:rFonts w:asciiTheme="minorHAnsi" w:eastAsia="PMingLiU" w:hAnsiTheme="minorHAnsi" w:cs="Calibri"/>
          <w:b/>
          <w:i/>
          <w:color w:val="0D0D0D"/>
          <w:sz w:val="22"/>
          <w:szCs w:val="22"/>
          <w:lang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AC2" w:rsidRDefault="00754AC2" w:rsidP="008B46F2">
      <w:pPr>
        <w:spacing w:after="0"/>
      </w:pPr>
      <w:r>
        <w:separator/>
      </w:r>
    </w:p>
  </w:endnote>
  <w:endnote w:type="continuationSeparator" w:id="0">
    <w:p w:rsidR="00754AC2" w:rsidRDefault="00754AC2"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AC2" w:rsidRDefault="00754AC2" w:rsidP="008B46F2">
      <w:pPr>
        <w:spacing w:after="0"/>
      </w:pPr>
      <w:r>
        <w:separator/>
      </w:r>
    </w:p>
  </w:footnote>
  <w:footnote w:type="continuationSeparator" w:id="0">
    <w:p w:rsidR="00754AC2" w:rsidRDefault="00754AC2"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26A3D"/>
    <w:multiLevelType w:val="hybridMultilevel"/>
    <w:tmpl w:val="E84A11E8"/>
    <w:lvl w:ilvl="0" w:tplc="32181BE2">
      <w:start w:val="1"/>
      <w:numFmt w:val="bullet"/>
      <w:lvlText w:val="▪"/>
      <w:lvlJc w:val="left"/>
      <w:pPr>
        <w:tabs>
          <w:tab w:val="num" w:pos="720"/>
        </w:tabs>
        <w:ind w:left="720" w:hanging="360"/>
      </w:pPr>
      <w:rPr>
        <w:rFonts w:ascii="Calibri Bold" w:hAnsi="Calibri Bold" w:hint="default"/>
      </w:rPr>
    </w:lvl>
    <w:lvl w:ilvl="1" w:tplc="1B8C4918" w:tentative="1">
      <w:start w:val="1"/>
      <w:numFmt w:val="bullet"/>
      <w:lvlText w:val="▪"/>
      <w:lvlJc w:val="left"/>
      <w:pPr>
        <w:tabs>
          <w:tab w:val="num" w:pos="1440"/>
        </w:tabs>
        <w:ind w:left="1440" w:hanging="360"/>
      </w:pPr>
      <w:rPr>
        <w:rFonts w:ascii="Calibri Bold" w:hAnsi="Calibri Bold" w:hint="default"/>
      </w:rPr>
    </w:lvl>
    <w:lvl w:ilvl="2" w:tplc="A764425C" w:tentative="1">
      <w:start w:val="1"/>
      <w:numFmt w:val="bullet"/>
      <w:lvlText w:val="▪"/>
      <w:lvlJc w:val="left"/>
      <w:pPr>
        <w:tabs>
          <w:tab w:val="num" w:pos="2160"/>
        </w:tabs>
        <w:ind w:left="2160" w:hanging="360"/>
      </w:pPr>
      <w:rPr>
        <w:rFonts w:ascii="Calibri Bold" w:hAnsi="Calibri Bold" w:hint="default"/>
      </w:rPr>
    </w:lvl>
    <w:lvl w:ilvl="3" w:tplc="4F7A780E" w:tentative="1">
      <w:start w:val="1"/>
      <w:numFmt w:val="bullet"/>
      <w:lvlText w:val="▪"/>
      <w:lvlJc w:val="left"/>
      <w:pPr>
        <w:tabs>
          <w:tab w:val="num" w:pos="2880"/>
        </w:tabs>
        <w:ind w:left="2880" w:hanging="360"/>
      </w:pPr>
      <w:rPr>
        <w:rFonts w:ascii="Calibri Bold" w:hAnsi="Calibri Bold" w:hint="default"/>
      </w:rPr>
    </w:lvl>
    <w:lvl w:ilvl="4" w:tplc="3D5EC7C0" w:tentative="1">
      <w:start w:val="1"/>
      <w:numFmt w:val="bullet"/>
      <w:lvlText w:val="▪"/>
      <w:lvlJc w:val="left"/>
      <w:pPr>
        <w:tabs>
          <w:tab w:val="num" w:pos="3600"/>
        </w:tabs>
        <w:ind w:left="3600" w:hanging="360"/>
      </w:pPr>
      <w:rPr>
        <w:rFonts w:ascii="Calibri Bold" w:hAnsi="Calibri Bold" w:hint="default"/>
      </w:rPr>
    </w:lvl>
    <w:lvl w:ilvl="5" w:tplc="BDF4D350" w:tentative="1">
      <w:start w:val="1"/>
      <w:numFmt w:val="bullet"/>
      <w:lvlText w:val="▪"/>
      <w:lvlJc w:val="left"/>
      <w:pPr>
        <w:tabs>
          <w:tab w:val="num" w:pos="4320"/>
        </w:tabs>
        <w:ind w:left="4320" w:hanging="360"/>
      </w:pPr>
      <w:rPr>
        <w:rFonts w:ascii="Calibri Bold" w:hAnsi="Calibri Bold" w:hint="default"/>
      </w:rPr>
    </w:lvl>
    <w:lvl w:ilvl="6" w:tplc="52F02DCE" w:tentative="1">
      <w:start w:val="1"/>
      <w:numFmt w:val="bullet"/>
      <w:lvlText w:val="▪"/>
      <w:lvlJc w:val="left"/>
      <w:pPr>
        <w:tabs>
          <w:tab w:val="num" w:pos="5040"/>
        </w:tabs>
        <w:ind w:left="5040" w:hanging="360"/>
      </w:pPr>
      <w:rPr>
        <w:rFonts w:ascii="Calibri Bold" w:hAnsi="Calibri Bold" w:hint="default"/>
      </w:rPr>
    </w:lvl>
    <w:lvl w:ilvl="7" w:tplc="B8B80576" w:tentative="1">
      <w:start w:val="1"/>
      <w:numFmt w:val="bullet"/>
      <w:lvlText w:val="▪"/>
      <w:lvlJc w:val="left"/>
      <w:pPr>
        <w:tabs>
          <w:tab w:val="num" w:pos="5760"/>
        </w:tabs>
        <w:ind w:left="5760" w:hanging="360"/>
      </w:pPr>
      <w:rPr>
        <w:rFonts w:ascii="Calibri Bold" w:hAnsi="Calibri Bold" w:hint="default"/>
      </w:rPr>
    </w:lvl>
    <w:lvl w:ilvl="8" w:tplc="E5E04588"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8C2ABF"/>
    <w:multiLevelType w:val="multilevel"/>
    <w:tmpl w:val="41F84578"/>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136C57"/>
    <w:multiLevelType w:val="hybridMultilevel"/>
    <w:tmpl w:val="662C14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E14CE9"/>
    <w:multiLevelType w:val="hybridMultilevel"/>
    <w:tmpl w:val="9CA843F2"/>
    <w:lvl w:ilvl="0" w:tplc="23A868CC">
      <w:start w:val="1"/>
      <w:numFmt w:val="bullet"/>
      <w:lvlText w:val="•"/>
      <w:lvlJc w:val="left"/>
      <w:pPr>
        <w:tabs>
          <w:tab w:val="num" w:pos="720"/>
        </w:tabs>
        <w:ind w:left="720" w:hanging="360"/>
      </w:pPr>
      <w:rPr>
        <w:rFonts w:ascii="Arial" w:hAnsi="Arial" w:hint="default"/>
      </w:rPr>
    </w:lvl>
    <w:lvl w:ilvl="1" w:tplc="D4767192">
      <w:numFmt w:val="bullet"/>
      <w:lvlText w:val="–"/>
      <w:lvlJc w:val="left"/>
      <w:pPr>
        <w:tabs>
          <w:tab w:val="num" w:pos="1440"/>
        </w:tabs>
        <w:ind w:left="1440" w:hanging="360"/>
      </w:pPr>
      <w:rPr>
        <w:rFonts w:ascii="Arial" w:hAnsi="Arial" w:hint="default"/>
      </w:rPr>
    </w:lvl>
    <w:lvl w:ilvl="2" w:tplc="53B00AEA" w:tentative="1">
      <w:start w:val="1"/>
      <w:numFmt w:val="bullet"/>
      <w:lvlText w:val="•"/>
      <w:lvlJc w:val="left"/>
      <w:pPr>
        <w:tabs>
          <w:tab w:val="num" w:pos="2160"/>
        </w:tabs>
        <w:ind w:left="2160" w:hanging="360"/>
      </w:pPr>
      <w:rPr>
        <w:rFonts w:ascii="Arial" w:hAnsi="Arial" w:hint="default"/>
      </w:rPr>
    </w:lvl>
    <w:lvl w:ilvl="3" w:tplc="157EC3DA" w:tentative="1">
      <w:start w:val="1"/>
      <w:numFmt w:val="bullet"/>
      <w:lvlText w:val="•"/>
      <w:lvlJc w:val="left"/>
      <w:pPr>
        <w:tabs>
          <w:tab w:val="num" w:pos="2880"/>
        </w:tabs>
        <w:ind w:left="2880" w:hanging="360"/>
      </w:pPr>
      <w:rPr>
        <w:rFonts w:ascii="Arial" w:hAnsi="Arial" w:hint="default"/>
      </w:rPr>
    </w:lvl>
    <w:lvl w:ilvl="4" w:tplc="FA620C4E" w:tentative="1">
      <w:start w:val="1"/>
      <w:numFmt w:val="bullet"/>
      <w:lvlText w:val="•"/>
      <w:lvlJc w:val="left"/>
      <w:pPr>
        <w:tabs>
          <w:tab w:val="num" w:pos="3600"/>
        </w:tabs>
        <w:ind w:left="3600" w:hanging="360"/>
      </w:pPr>
      <w:rPr>
        <w:rFonts w:ascii="Arial" w:hAnsi="Arial" w:hint="default"/>
      </w:rPr>
    </w:lvl>
    <w:lvl w:ilvl="5" w:tplc="4D34125C" w:tentative="1">
      <w:start w:val="1"/>
      <w:numFmt w:val="bullet"/>
      <w:lvlText w:val="•"/>
      <w:lvlJc w:val="left"/>
      <w:pPr>
        <w:tabs>
          <w:tab w:val="num" w:pos="4320"/>
        </w:tabs>
        <w:ind w:left="4320" w:hanging="360"/>
      </w:pPr>
      <w:rPr>
        <w:rFonts w:ascii="Arial" w:hAnsi="Arial" w:hint="default"/>
      </w:rPr>
    </w:lvl>
    <w:lvl w:ilvl="6" w:tplc="CE08B73C" w:tentative="1">
      <w:start w:val="1"/>
      <w:numFmt w:val="bullet"/>
      <w:lvlText w:val="•"/>
      <w:lvlJc w:val="left"/>
      <w:pPr>
        <w:tabs>
          <w:tab w:val="num" w:pos="5040"/>
        </w:tabs>
        <w:ind w:left="5040" w:hanging="360"/>
      </w:pPr>
      <w:rPr>
        <w:rFonts w:ascii="Arial" w:hAnsi="Arial" w:hint="default"/>
      </w:rPr>
    </w:lvl>
    <w:lvl w:ilvl="7" w:tplc="2DE2BCEE" w:tentative="1">
      <w:start w:val="1"/>
      <w:numFmt w:val="bullet"/>
      <w:lvlText w:val="•"/>
      <w:lvlJc w:val="left"/>
      <w:pPr>
        <w:tabs>
          <w:tab w:val="num" w:pos="5760"/>
        </w:tabs>
        <w:ind w:left="5760" w:hanging="360"/>
      </w:pPr>
      <w:rPr>
        <w:rFonts w:ascii="Arial" w:hAnsi="Arial" w:hint="default"/>
      </w:rPr>
    </w:lvl>
    <w:lvl w:ilvl="8" w:tplc="8BCC9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9"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074594"/>
    <w:multiLevelType w:val="hybridMultilevel"/>
    <w:tmpl w:val="DE54C372"/>
    <w:lvl w:ilvl="0" w:tplc="94109C36">
      <w:start w:val="1"/>
      <w:numFmt w:val="bullet"/>
      <w:lvlText w:val="–"/>
      <w:lvlJc w:val="left"/>
      <w:pPr>
        <w:tabs>
          <w:tab w:val="num" w:pos="720"/>
        </w:tabs>
        <w:ind w:left="720" w:hanging="360"/>
      </w:pPr>
      <w:rPr>
        <w:rFonts w:ascii="Arial" w:hAnsi="Arial" w:hint="default"/>
      </w:rPr>
    </w:lvl>
    <w:lvl w:ilvl="1" w:tplc="2ADA6864">
      <w:start w:val="1"/>
      <w:numFmt w:val="bullet"/>
      <w:lvlText w:val="–"/>
      <w:lvlJc w:val="left"/>
      <w:pPr>
        <w:tabs>
          <w:tab w:val="num" w:pos="1440"/>
        </w:tabs>
        <w:ind w:left="1440" w:hanging="360"/>
      </w:pPr>
      <w:rPr>
        <w:rFonts w:ascii="Arial" w:hAnsi="Arial" w:hint="default"/>
      </w:rPr>
    </w:lvl>
    <w:lvl w:ilvl="2" w:tplc="48FC4966" w:tentative="1">
      <w:start w:val="1"/>
      <w:numFmt w:val="bullet"/>
      <w:lvlText w:val="–"/>
      <w:lvlJc w:val="left"/>
      <w:pPr>
        <w:tabs>
          <w:tab w:val="num" w:pos="2160"/>
        </w:tabs>
        <w:ind w:left="2160" w:hanging="360"/>
      </w:pPr>
      <w:rPr>
        <w:rFonts w:ascii="Arial" w:hAnsi="Arial" w:hint="default"/>
      </w:rPr>
    </w:lvl>
    <w:lvl w:ilvl="3" w:tplc="1DEAE6AC" w:tentative="1">
      <w:start w:val="1"/>
      <w:numFmt w:val="bullet"/>
      <w:lvlText w:val="–"/>
      <w:lvlJc w:val="left"/>
      <w:pPr>
        <w:tabs>
          <w:tab w:val="num" w:pos="2880"/>
        </w:tabs>
        <w:ind w:left="2880" w:hanging="360"/>
      </w:pPr>
      <w:rPr>
        <w:rFonts w:ascii="Arial" w:hAnsi="Arial" w:hint="default"/>
      </w:rPr>
    </w:lvl>
    <w:lvl w:ilvl="4" w:tplc="10BC6F6E" w:tentative="1">
      <w:start w:val="1"/>
      <w:numFmt w:val="bullet"/>
      <w:lvlText w:val="–"/>
      <w:lvlJc w:val="left"/>
      <w:pPr>
        <w:tabs>
          <w:tab w:val="num" w:pos="3600"/>
        </w:tabs>
        <w:ind w:left="3600" w:hanging="360"/>
      </w:pPr>
      <w:rPr>
        <w:rFonts w:ascii="Arial" w:hAnsi="Arial" w:hint="default"/>
      </w:rPr>
    </w:lvl>
    <w:lvl w:ilvl="5" w:tplc="5F2C7FE8" w:tentative="1">
      <w:start w:val="1"/>
      <w:numFmt w:val="bullet"/>
      <w:lvlText w:val="–"/>
      <w:lvlJc w:val="left"/>
      <w:pPr>
        <w:tabs>
          <w:tab w:val="num" w:pos="4320"/>
        </w:tabs>
        <w:ind w:left="4320" w:hanging="360"/>
      </w:pPr>
      <w:rPr>
        <w:rFonts w:ascii="Arial" w:hAnsi="Arial" w:hint="default"/>
      </w:rPr>
    </w:lvl>
    <w:lvl w:ilvl="6" w:tplc="6E484EB6" w:tentative="1">
      <w:start w:val="1"/>
      <w:numFmt w:val="bullet"/>
      <w:lvlText w:val="–"/>
      <w:lvlJc w:val="left"/>
      <w:pPr>
        <w:tabs>
          <w:tab w:val="num" w:pos="5040"/>
        </w:tabs>
        <w:ind w:left="5040" w:hanging="360"/>
      </w:pPr>
      <w:rPr>
        <w:rFonts w:ascii="Arial" w:hAnsi="Arial" w:hint="default"/>
      </w:rPr>
    </w:lvl>
    <w:lvl w:ilvl="7" w:tplc="10DC2336" w:tentative="1">
      <w:start w:val="1"/>
      <w:numFmt w:val="bullet"/>
      <w:lvlText w:val="–"/>
      <w:lvlJc w:val="left"/>
      <w:pPr>
        <w:tabs>
          <w:tab w:val="num" w:pos="5760"/>
        </w:tabs>
        <w:ind w:left="5760" w:hanging="360"/>
      </w:pPr>
      <w:rPr>
        <w:rFonts w:ascii="Arial" w:hAnsi="Arial" w:hint="default"/>
      </w:rPr>
    </w:lvl>
    <w:lvl w:ilvl="8" w:tplc="212AC9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C70450"/>
    <w:multiLevelType w:val="hybridMultilevel"/>
    <w:tmpl w:val="9F1EF260"/>
    <w:lvl w:ilvl="0" w:tplc="7394599A">
      <w:start w:val="1"/>
      <w:numFmt w:val="bullet"/>
      <w:lvlText w:val="•"/>
      <w:lvlJc w:val="left"/>
      <w:pPr>
        <w:tabs>
          <w:tab w:val="num" w:pos="360"/>
        </w:tabs>
        <w:ind w:left="360" w:hanging="360"/>
      </w:pPr>
      <w:rPr>
        <w:rFonts w:ascii="Arial" w:hAnsi="Arial" w:hint="default"/>
      </w:rPr>
    </w:lvl>
    <w:lvl w:ilvl="1" w:tplc="F96EBAC8">
      <w:numFmt w:val="bullet"/>
      <w:lvlText w:val="•"/>
      <w:lvlJc w:val="left"/>
      <w:pPr>
        <w:tabs>
          <w:tab w:val="num" w:pos="1080"/>
        </w:tabs>
        <w:ind w:left="1080" w:hanging="360"/>
      </w:pPr>
      <w:rPr>
        <w:rFonts w:ascii="Arial" w:hAnsi="Arial" w:hint="default"/>
      </w:rPr>
    </w:lvl>
    <w:lvl w:ilvl="2" w:tplc="17102146">
      <w:numFmt w:val="bullet"/>
      <w:lvlText w:val="•"/>
      <w:lvlJc w:val="left"/>
      <w:pPr>
        <w:tabs>
          <w:tab w:val="num" w:pos="1800"/>
        </w:tabs>
        <w:ind w:left="1800" w:hanging="360"/>
      </w:pPr>
      <w:rPr>
        <w:rFonts w:ascii="Arial" w:hAnsi="Arial" w:hint="default"/>
      </w:rPr>
    </w:lvl>
    <w:lvl w:ilvl="3" w:tplc="033EC68E">
      <w:numFmt w:val="bullet"/>
      <w:lvlText w:val="-"/>
      <w:lvlJc w:val="left"/>
      <w:pPr>
        <w:ind w:left="2520" w:hanging="360"/>
      </w:pPr>
      <w:rPr>
        <w:rFonts w:ascii="Times New Roman" w:eastAsia="Times New Roman" w:hAnsi="Times New Roman" w:cs="Times New Roman" w:hint="default"/>
        <w:sz w:val="20"/>
      </w:rPr>
    </w:lvl>
    <w:lvl w:ilvl="4" w:tplc="E62CB718" w:tentative="1">
      <w:start w:val="1"/>
      <w:numFmt w:val="bullet"/>
      <w:lvlText w:val="•"/>
      <w:lvlJc w:val="left"/>
      <w:pPr>
        <w:tabs>
          <w:tab w:val="num" w:pos="3240"/>
        </w:tabs>
        <w:ind w:left="3240" w:hanging="360"/>
      </w:pPr>
      <w:rPr>
        <w:rFonts w:ascii="Arial" w:hAnsi="Arial" w:hint="default"/>
      </w:rPr>
    </w:lvl>
    <w:lvl w:ilvl="5" w:tplc="8F24E906" w:tentative="1">
      <w:start w:val="1"/>
      <w:numFmt w:val="bullet"/>
      <w:lvlText w:val="•"/>
      <w:lvlJc w:val="left"/>
      <w:pPr>
        <w:tabs>
          <w:tab w:val="num" w:pos="3960"/>
        </w:tabs>
        <w:ind w:left="3960" w:hanging="360"/>
      </w:pPr>
      <w:rPr>
        <w:rFonts w:ascii="Arial" w:hAnsi="Arial" w:hint="default"/>
      </w:rPr>
    </w:lvl>
    <w:lvl w:ilvl="6" w:tplc="392CA318" w:tentative="1">
      <w:start w:val="1"/>
      <w:numFmt w:val="bullet"/>
      <w:lvlText w:val="•"/>
      <w:lvlJc w:val="left"/>
      <w:pPr>
        <w:tabs>
          <w:tab w:val="num" w:pos="4680"/>
        </w:tabs>
        <w:ind w:left="4680" w:hanging="360"/>
      </w:pPr>
      <w:rPr>
        <w:rFonts w:ascii="Arial" w:hAnsi="Arial" w:hint="default"/>
      </w:rPr>
    </w:lvl>
    <w:lvl w:ilvl="7" w:tplc="672A3AA0" w:tentative="1">
      <w:start w:val="1"/>
      <w:numFmt w:val="bullet"/>
      <w:lvlText w:val="•"/>
      <w:lvlJc w:val="left"/>
      <w:pPr>
        <w:tabs>
          <w:tab w:val="num" w:pos="5400"/>
        </w:tabs>
        <w:ind w:left="5400" w:hanging="360"/>
      </w:pPr>
      <w:rPr>
        <w:rFonts w:ascii="Arial" w:hAnsi="Arial" w:hint="default"/>
      </w:rPr>
    </w:lvl>
    <w:lvl w:ilvl="8" w:tplc="6E60F6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E7C"/>
    <w:multiLevelType w:val="hybridMultilevel"/>
    <w:tmpl w:val="1762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9D326C"/>
    <w:multiLevelType w:val="hybridMultilevel"/>
    <w:tmpl w:val="2AD8F74C"/>
    <w:lvl w:ilvl="0" w:tplc="DB980018">
      <w:start w:val="1"/>
      <w:numFmt w:val="bullet"/>
      <w:lvlText w:val="•"/>
      <w:lvlJc w:val="left"/>
      <w:pPr>
        <w:tabs>
          <w:tab w:val="num" w:pos="720"/>
        </w:tabs>
        <w:ind w:left="720" w:hanging="360"/>
      </w:pPr>
      <w:rPr>
        <w:rFonts w:ascii="Arial" w:hAnsi="Arial" w:hint="default"/>
      </w:rPr>
    </w:lvl>
    <w:lvl w:ilvl="1" w:tplc="17AC66E8">
      <w:numFmt w:val="bullet"/>
      <w:lvlText w:val="–"/>
      <w:lvlJc w:val="left"/>
      <w:pPr>
        <w:tabs>
          <w:tab w:val="num" w:pos="1440"/>
        </w:tabs>
        <w:ind w:left="1440" w:hanging="360"/>
      </w:pPr>
      <w:rPr>
        <w:rFonts w:ascii="Arial" w:hAnsi="Arial" w:hint="default"/>
      </w:rPr>
    </w:lvl>
    <w:lvl w:ilvl="2" w:tplc="3752B8E8" w:tentative="1">
      <w:start w:val="1"/>
      <w:numFmt w:val="bullet"/>
      <w:lvlText w:val="•"/>
      <w:lvlJc w:val="left"/>
      <w:pPr>
        <w:tabs>
          <w:tab w:val="num" w:pos="2160"/>
        </w:tabs>
        <w:ind w:left="2160" w:hanging="360"/>
      </w:pPr>
      <w:rPr>
        <w:rFonts w:ascii="Arial" w:hAnsi="Arial" w:hint="default"/>
      </w:rPr>
    </w:lvl>
    <w:lvl w:ilvl="3" w:tplc="3E48E4FA" w:tentative="1">
      <w:start w:val="1"/>
      <w:numFmt w:val="bullet"/>
      <w:lvlText w:val="•"/>
      <w:lvlJc w:val="left"/>
      <w:pPr>
        <w:tabs>
          <w:tab w:val="num" w:pos="2880"/>
        </w:tabs>
        <w:ind w:left="2880" w:hanging="360"/>
      </w:pPr>
      <w:rPr>
        <w:rFonts w:ascii="Arial" w:hAnsi="Arial" w:hint="default"/>
      </w:rPr>
    </w:lvl>
    <w:lvl w:ilvl="4" w:tplc="EB3A9336" w:tentative="1">
      <w:start w:val="1"/>
      <w:numFmt w:val="bullet"/>
      <w:lvlText w:val="•"/>
      <w:lvlJc w:val="left"/>
      <w:pPr>
        <w:tabs>
          <w:tab w:val="num" w:pos="3600"/>
        </w:tabs>
        <w:ind w:left="3600" w:hanging="360"/>
      </w:pPr>
      <w:rPr>
        <w:rFonts w:ascii="Arial" w:hAnsi="Arial" w:hint="default"/>
      </w:rPr>
    </w:lvl>
    <w:lvl w:ilvl="5" w:tplc="E58CACBE" w:tentative="1">
      <w:start w:val="1"/>
      <w:numFmt w:val="bullet"/>
      <w:lvlText w:val="•"/>
      <w:lvlJc w:val="left"/>
      <w:pPr>
        <w:tabs>
          <w:tab w:val="num" w:pos="4320"/>
        </w:tabs>
        <w:ind w:left="4320" w:hanging="360"/>
      </w:pPr>
      <w:rPr>
        <w:rFonts w:ascii="Arial" w:hAnsi="Arial" w:hint="default"/>
      </w:rPr>
    </w:lvl>
    <w:lvl w:ilvl="6" w:tplc="9B1C29BC" w:tentative="1">
      <w:start w:val="1"/>
      <w:numFmt w:val="bullet"/>
      <w:lvlText w:val="•"/>
      <w:lvlJc w:val="left"/>
      <w:pPr>
        <w:tabs>
          <w:tab w:val="num" w:pos="5040"/>
        </w:tabs>
        <w:ind w:left="5040" w:hanging="360"/>
      </w:pPr>
      <w:rPr>
        <w:rFonts w:ascii="Arial" w:hAnsi="Arial" w:hint="default"/>
      </w:rPr>
    </w:lvl>
    <w:lvl w:ilvl="7" w:tplc="9D66E7BA" w:tentative="1">
      <w:start w:val="1"/>
      <w:numFmt w:val="bullet"/>
      <w:lvlText w:val="•"/>
      <w:lvlJc w:val="left"/>
      <w:pPr>
        <w:tabs>
          <w:tab w:val="num" w:pos="5760"/>
        </w:tabs>
        <w:ind w:left="5760" w:hanging="360"/>
      </w:pPr>
      <w:rPr>
        <w:rFonts w:ascii="Arial" w:hAnsi="Arial" w:hint="default"/>
      </w:rPr>
    </w:lvl>
    <w:lvl w:ilvl="8" w:tplc="4A0C1C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31"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2B654F"/>
    <w:multiLevelType w:val="hybridMultilevel"/>
    <w:tmpl w:val="BD76F938"/>
    <w:lvl w:ilvl="0" w:tplc="85BE5582">
      <w:start w:val="1"/>
      <w:numFmt w:val="bullet"/>
      <w:lvlText w:val="•"/>
      <w:lvlJc w:val="left"/>
      <w:pPr>
        <w:tabs>
          <w:tab w:val="num" w:pos="720"/>
        </w:tabs>
        <w:ind w:left="720" w:hanging="360"/>
      </w:pPr>
      <w:rPr>
        <w:rFonts w:ascii="Arial" w:hAnsi="Arial" w:hint="default"/>
      </w:rPr>
    </w:lvl>
    <w:lvl w:ilvl="1" w:tplc="B2A6F8A0">
      <w:numFmt w:val="bullet"/>
      <w:lvlText w:val="–"/>
      <w:lvlJc w:val="left"/>
      <w:pPr>
        <w:tabs>
          <w:tab w:val="num" w:pos="1440"/>
        </w:tabs>
        <w:ind w:left="1440" w:hanging="360"/>
      </w:pPr>
      <w:rPr>
        <w:rFonts w:ascii="Arial" w:hAnsi="Arial" w:hint="default"/>
      </w:rPr>
    </w:lvl>
    <w:lvl w:ilvl="2" w:tplc="D0D053B4" w:tentative="1">
      <w:start w:val="1"/>
      <w:numFmt w:val="bullet"/>
      <w:lvlText w:val="•"/>
      <w:lvlJc w:val="left"/>
      <w:pPr>
        <w:tabs>
          <w:tab w:val="num" w:pos="2160"/>
        </w:tabs>
        <w:ind w:left="2160" w:hanging="360"/>
      </w:pPr>
      <w:rPr>
        <w:rFonts w:ascii="Arial" w:hAnsi="Arial" w:hint="default"/>
      </w:rPr>
    </w:lvl>
    <w:lvl w:ilvl="3" w:tplc="798A1750" w:tentative="1">
      <w:start w:val="1"/>
      <w:numFmt w:val="bullet"/>
      <w:lvlText w:val="•"/>
      <w:lvlJc w:val="left"/>
      <w:pPr>
        <w:tabs>
          <w:tab w:val="num" w:pos="2880"/>
        </w:tabs>
        <w:ind w:left="2880" w:hanging="360"/>
      </w:pPr>
      <w:rPr>
        <w:rFonts w:ascii="Arial" w:hAnsi="Arial" w:hint="default"/>
      </w:rPr>
    </w:lvl>
    <w:lvl w:ilvl="4" w:tplc="B68A5DF8" w:tentative="1">
      <w:start w:val="1"/>
      <w:numFmt w:val="bullet"/>
      <w:lvlText w:val="•"/>
      <w:lvlJc w:val="left"/>
      <w:pPr>
        <w:tabs>
          <w:tab w:val="num" w:pos="3600"/>
        </w:tabs>
        <w:ind w:left="3600" w:hanging="360"/>
      </w:pPr>
      <w:rPr>
        <w:rFonts w:ascii="Arial" w:hAnsi="Arial" w:hint="default"/>
      </w:rPr>
    </w:lvl>
    <w:lvl w:ilvl="5" w:tplc="4E0CB070" w:tentative="1">
      <w:start w:val="1"/>
      <w:numFmt w:val="bullet"/>
      <w:lvlText w:val="•"/>
      <w:lvlJc w:val="left"/>
      <w:pPr>
        <w:tabs>
          <w:tab w:val="num" w:pos="4320"/>
        </w:tabs>
        <w:ind w:left="4320" w:hanging="360"/>
      </w:pPr>
      <w:rPr>
        <w:rFonts w:ascii="Arial" w:hAnsi="Arial" w:hint="default"/>
      </w:rPr>
    </w:lvl>
    <w:lvl w:ilvl="6" w:tplc="27788EE8" w:tentative="1">
      <w:start w:val="1"/>
      <w:numFmt w:val="bullet"/>
      <w:lvlText w:val="•"/>
      <w:lvlJc w:val="left"/>
      <w:pPr>
        <w:tabs>
          <w:tab w:val="num" w:pos="5040"/>
        </w:tabs>
        <w:ind w:left="5040" w:hanging="360"/>
      </w:pPr>
      <w:rPr>
        <w:rFonts w:ascii="Arial" w:hAnsi="Arial" w:hint="default"/>
      </w:rPr>
    </w:lvl>
    <w:lvl w:ilvl="7" w:tplc="CADCCF58" w:tentative="1">
      <w:start w:val="1"/>
      <w:numFmt w:val="bullet"/>
      <w:lvlText w:val="•"/>
      <w:lvlJc w:val="left"/>
      <w:pPr>
        <w:tabs>
          <w:tab w:val="num" w:pos="5760"/>
        </w:tabs>
        <w:ind w:left="5760" w:hanging="360"/>
      </w:pPr>
      <w:rPr>
        <w:rFonts w:ascii="Arial" w:hAnsi="Arial" w:hint="default"/>
      </w:rPr>
    </w:lvl>
    <w:lvl w:ilvl="8" w:tplc="F812764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18"/>
  </w:num>
  <w:num w:numId="4">
    <w:abstractNumId w:val="23"/>
  </w:num>
  <w:num w:numId="5">
    <w:abstractNumId w:val="22"/>
  </w:num>
  <w:num w:numId="6">
    <w:abstractNumId w:val="30"/>
  </w:num>
  <w:num w:numId="7">
    <w:abstractNumId w:val="25"/>
  </w:num>
  <w:num w:numId="8">
    <w:abstractNumId w:val="29"/>
  </w:num>
  <w:num w:numId="9">
    <w:abstractNumId w:val="9"/>
  </w:num>
  <w:num w:numId="10">
    <w:abstractNumId w:val="10"/>
  </w:num>
  <w:num w:numId="11">
    <w:abstractNumId w:val="11"/>
  </w:num>
  <w:num w:numId="12">
    <w:abstractNumId w:val="31"/>
  </w:num>
  <w:num w:numId="13">
    <w:abstractNumId w:val="6"/>
  </w:num>
  <w:num w:numId="14">
    <w:abstractNumId w:val="28"/>
  </w:num>
  <w:num w:numId="15">
    <w:abstractNumId w:val="16"/>
  </w:num>
  <w:num w:numId="16">
    <w:abstractNumId w:val="33"/>
  </w:num>
  <w:num w:numId="17">
    <w:abstractNumId w:val="19"/>
  </w:num>
  <w:num w:numId="18">
    <w:abstractNumId w:val="2"/>
  </w:num>
  <w:num w:numId="19">
    <w:abstractNumId w:val="1"/>
  </w:num>
  <w:num w:numId="20">
    <w:abstractNumId w:val="4"/>
  </w:num>
  <w:num w:numId="21">
    <w:abstractNumId w:val="32"/>
  </w:num>
  <w:num w:numId="22">
    <w:abstractNumId w:val="14"/>
  </w:num>
  <w:num w:numId="23">
    <w:abstractNumId w:val="26"/>
  </w:num>
  <w:num w:numId="24">
    <w:abstractNumId w:val="17"/>
  </w:num>
  <w:num w:numId="25">
    <w:abstractNumId w:val="21"/>
  </w:num>
  <w:num w:numId="26">
    <w:abstractNumId w:val="5"/>
  </w:num>
  <w:num w:numId="27">
    <w:abstractNumId w:val="0"/>
  </w:num>
  <w:num w:numId="28">
    <w:abstractNumId w:val="13"/>
  </w:num>
  <w:num w:numId="29">
    <w:abstractNumId w:val="7"/>
  </w:num>
  <w:num w:numId="30">
    <w:abstractNumId w:val="8"/>
  </w:num>
  <w:num w:numId="31">
    <w:abstractNumId w:val="24"/>
  </w:num>
  <w:num w:numId="32">
    <w:abstractNumId w:val="34"/>
  </w:num>
  <w:num w:numId="33">
    <w:abstractNumId w:val="27"/>
  </w:num>
  <w:num w:numId="34">
    <w:abstractNumId w:val="20"/>
  </w:num>
  <w:num w:numId="3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5F93"/>
    <w:rsid w:val="000107CA"/>
    <w:rsid w:val="00010845"/>
    <w:rsid w:val="0001194F"/>
    <w:rsid w:val="000124A6"/>
    <w:rsid w:val="00013455"/>
    <w:rsid w:val="000151FF"/>
    <w:rsid w:val="000155B9"/>
    <w:rsid w:val="0001583A"/>
    <w:rsid w:val="00017C38"/>
    <w:rsid w:val="000200EB"/>
    <w:rsid w:val="00021154"/>
    <w:rsid w:val="000234CD"/>
    <w:rsid w:val="00025A82"/>
    <w:rsid w:val="00026434"/>
    <w:rsid w:val="00027F69"/>
    <w:rsid w:val="00030D0D"/>
    <w:rsid w:val="000344DB"/>
    <w:rsid w:val="0004043A"/>
    <w:rsid w:val="0004055E"/>
    <w:rsid w:val="00040AE5"/>
    <w:rsid w:val="00042DB9"/>
    <w:rsid w:val="00045178"/>
    <w:rsid w:val="0004581B"/>
    <w:rsid w:val="00046B11"/>
    <w:rsid w:val="00050F4F"/>
    <w:rsid w:val="00051248"/>
    <w:rsid w:val="00052C73"/>
    <w:rsid w:val="00053C66"/>
    <w:rsid w:val="00054205"/>
    <w:rsid w:val="00054F94"/>
    <w:rsid w:val="000553EB"/>
    <w:rsid w:val="00055B1C"/>
    <w:rsid w:val="00057678"/>
    <w:rsid w:val="000613BC"/>
    <w:rsid w:val="000627DD"/>
    <w:rsid w:val="000629FD"/>
    <w:rsid w:val="000636CF"/>
    <w:rsid w:val="00063B3F"/>
    <w:rsid w:val="00065A8B"/>
    <w:rsid w:val="00065C5F"/>
    <w:rsid w:val="00067EDB"/>
    <w:rsid w:val="00067FE4"/>
    <w:rsid w:val="000706D3"/>
    <w:rsid w:val="000714E0"/>
    <w:rsid w:val="00072AC4"/>
    <w:rsid w:val="00073559"/>
    <w:rsid w:val="00073847"/>
    <w:rsid w:val="0007461A"/>
    <w:rsid w:val="00075BFA"/>
    <w:rsid w:val="00076DD8"/>
    <w:rsid w:val="00076F85"/>
    <w:rsid w:val="0008096A"/>
    <w:rsid w:val="00085372"/>
    <w:rsid w:val="00087FA6"/>
    <w:rsid w:val="00090FF8"/>
    <w:rsid w:val="00091660"/>
    <w:rsid w:val="0009445D"/>
    <w:rsid w:val="000946FA"/>
    <w:rsid w:val="00094BC2"/>
    <w:rsid w:val="00094D42"/>
    <w:rsid w:val="000952FD"/>
    <w:rsid w:val="000A03DA"/>
    <w:rsid w:val="000A11A9"/>
    <w:rsid w:val="000B1931"/>
    <w:rsid w:val="000B1D83"/>
    <w:rsid w:val="000B2FEE"/>
    <w:rsid w:val="000B5696"/>
    <w:rsid w:val="000B699C"/>
    <w:rsid w:val="000B6B00"/>
    <w:rsid w:val="000C43C9"/>
    <w:rsid w:val="000C4910"/>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3B6"/>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27F"/>
    <w:rsid w:val="0011370F"/>
    <w:rsid w:val="0011688E"/>
    <w:rsid w:val="00116A26"/>
    <w:rsid w:val="001218F5"/>
    <w:rsid w:val="00122D5C"/>
    <w:rsid w:val="00122F51"/>
    <w:rsid w:val="00124278"/>
    <w:rsid w:val="001249B3"/>
    <w:rsid w:val="00124F09"/>
    <w:rsid w:val="00124FD2"/>
    <w:rsid w:val="001253A0"/>
    <w:rsid w:val="001269C7"/>
    <w:rsid w:val="00131267"/>
    <w:rsid w:val="00131F1B"/>
    <w:rsid w:val="001346E0"/>
    <w:rsid w:val="0013559F"/>
    <w:rsid w:val="00135FF6"/>
    <w:rsid w:val="00137202"/>
    <w:rsid w:val="00137A29"/>
    <w:rsid w:val="00137E42"/>
    <w:rsid w:val="00140825"/>
    <w:rsid w:val="001411F3"/>
    <w:rsid w:val="00141793"/>
    <w:rsid w:val="00141DFB"/>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57"/>
    <w:rsid w:val="00196DBD"/>
    <w:rsid w:val="00197D40"/>
    <w:rsid w:val="001A0A87"/>
    <w:rsid w:val="001A13A1"/>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D7353"/>
    <w:rsid w:val="001E160E"/>
    <w:rsid w:val="001E2980"/>
    <w:rsid w:val="001E5079"/>
    <w:rsid w:val="001E6596"/>
    <w:rsid w:val="001E6A15"/>
    <w:rsid w:val="001E6B2B"/>
    <w:rsid w:val="001E6FC2"/>
    <w:rsid w:val="001F2C71"/>
    <w:rsid w:val="001F2F8D"/>
    <w:rsid w:val="001F3963"/>
    <w:rsid w:val="001F5CF3"/>
    <w:rsid w:val="001F70A4"/>
    <w:rsid w:val="001F755C"/>
    <w:rsid w:val="001F7975"/>
    <w:rsid w:val="00203D65"/>
    <w:rsid w:val="00206812"/>
    <w:rsid w:val="00211B6B"/>
    <w:rsid w:val="00211EB4"/>
    <w:rsid w:val="00214420"/>
    <w:rsid w:val="00214F29"/>
    <w:rsid w:val="00214FB5"/>
    <w:rsid w:val="00216288"/>
    <w:rsid w:val="00220D18"/>
    <w:rsid w:val="00221265"/>
    <w:rsid w:val="00221717"/>
    <w:rsid w:val="00222B9C"/>
    <w:rsid w:val="00224F1D"/>
    <w:rsid w:val="00225AA7"/>
    <w:rsid w:val="00226823"/>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0A7"/>
    <w:rsid w:val="002658F0"/>
    <w:rsid w:val="00266B95"/>
    <w:rsid w:val="00266D5F"/>
    <w:rsid w:val="00270E80"/>
    <w:rsid w:val="00271102"/>
    <w:rsid w:val="002720F6"/>
    <w:rsid w:val="002723AE"/>
    <w:rsid w:val="00272668"/>
    <w:rsid w:val="002750F3"/>
    <w:rsid w:val="0028000A"/>
    <w:rsid w:val="00282B7B"/>
    <w:rsid w:val="00282F42"/>
    <w:rsid w:val="00290EB5"/>
    <w:rsid w:val="00292CCC"/>
    <w:rsid w:val="002942C0"/>
    <w:rsid w:val="002944B9"/>
    <w:rsid w:val="002946AE"/>
    <w:rsid w:val="00295E51"/>
    <w:rsid w:val="00295E8D"/>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1321"/>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4F24"/>
    <w:rsid w:val="00350F3A"/>
    <w:rsid w:val="00351ABB"/>
    <w:rsid w:val="00351C0D"/>
    <w:rsid w:val="00352146"/>
    <w:rsid w:val="00354865"/>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A54EA"/>
    <w:rsid w:val="003B05A8"/>
    <w:rsid w:val="003B1704"/>
    <w:rsid w:val="003B1DB9"/>
    <w:rsid w:val="003B307D"/>
    <w:rsid w:val="003B31C9"/>
    <w:rsid w:val="003B3FE2"/>
    <w:rsid w:val="003B4B0F"/>
    <w:rsid w:val="003B5C7E"/>
    <w:rsid w:val="003B5FE8"/>
    <w:rsid w:val="003C5132"/>
    <w:rsid w:val="003C62D1"/>
    <w:rsid w:val="003C7400"/>
    <w:rsid w:val="003D0253"/>
    <w:rsid w:val="003D069B"/>
    <w:rsid w:val="003D6790"/>
    <w:rsid w:val="003D6E90"/>
    <w:rsid w:val="003D7E13"/>
    <w:rsid w:val="003E0A21"/>
    <w:rsid w:val="003E1450"/>
    <w:rsid w:val="003E250A"/>
    <w:rsid w:val="003E3889"/>
    <w:rsid w:val="003E39ED"/>
    <w:rsid w:val="003F0E9A"/>
    <w:rsid w:val="003F293D"/>
    <w:rsid w:val="003F4C52"/>
    <w:rsid w:val="003F5078"/>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3251"/>
    <w:rsid w:val="0044681A"/>
    <w:rsid w:val="00447C8A"/>
    <w:rsid w:val="00455FEC"/>
    <w:rsid w:val="004564B8"/>
    <w:rsid w:val="00460D6B"/>
    <w:rsid w:val="0046132A"/>
    <w:rsid w:val="00462494"/>
    <w:rsid w:val="0046283B"/>
    <w:rsid w:val="004640BA"/>
    <w:rsid w:val="00465DF6"/>
    <w:rsid w:val="00466486"/>
    <w:rsid w:val="00466D7F"/>
    <w:rsid w:val="0046710C"/>
    <w:rsid w:val="00467337"/>
    <w:rsid w:val="004673E4"/>
    <w:rsid w:val="00470794"/>
    <w:rsid w:val="004708EF"/>
    <w:rsid w:val="00471C42"/>
    <w:rsid w:val="00473805"/>
    <w:rsid w:val="00474D21"/>
    <w:rsid w:val="00475200"/>
    <w:rsid w:val="004769CF"/>
    <w:rsid w:val="00477D9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44F"/>
    <w:rsid w:val="004C0E5F"/>
    <w:rsid w:val="004C1E3A"/>
    <w:rsid w:val="004C36D1"/>
    <w:rsid w:val="004C59A0"/>
    <w:rsid w:val="004C63BF"/>
    <w:rsid w:val="004C64BD"/>
    <w:rsid w:val="004D04F9"/>
    <w:rsid w:val="004D05EF"/>
    <w:rsid w:val="004D6204"/>
    <w:rsid w:val="004E09E4"/>
    <w:rsid w:val="004E0A30"/>
    <w:rsid w:val="004E3927"/>
    <w:rsid w:val="004E41E3"/>
    <w:rsid w:val="004E4887"/>
    <w:rsid w:val="004E4955"/>
    <w:rsid w:val="004E5430"/>
    <w:rsid w:val="004E76E7"/>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05BF"/>
    <w:rsid w:val="00541969"/>
    <w:rsid w:val="005424C8"/>
    <w:rsid w:val="0054550E"/>
    <w:rsid w:val="00546B9C"/>
    <w:rsid w:val="00547527"/>
    <w:rsid w:val="005515B0"/>
    <w:rsid w:val="00551E53"/>
    <w:rsid w:val="00560D26"/>
    <w:rsid w:val="00563487"/>
    <w:rsid w:val="005635E1"/>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A01F5"/>
    <w:rsid w:val="005A0D71"/>
    <w:rsid w:val="005A15EA"/>
    <w:rsid w:val="005A1AC1"/>
    <w:rsid w:val="005A1CBD"/>
    <w:rsid w:val="005A41B1"/>
    <w:rsid w:val="005A6489"/>
    <w:rsid w:val="005B1303"/>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F029B"/>
    <w:rsid w:val="005F0967"/>
    <w:rsid w:val="005F552E"/>
    <w:rsid w:val="005F70AB"/>
    <w:rsid w:val="005F79A9"/>
    <w:rsid w:val="005F7E12"/>
    <w:rsid w:val="00600724"/>
    <w:rsid w:val="00600F57"/>
    <w:rsid w:val="00602705"/>
    <w:rsid w:val="006032C0"/>
    <w:rsid w:val="00603A78"/>
    <w:rsid w:val="00604122"/>
    <w:rsid w:val="006058DA"/>
    <w:rsid w:val="00606D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2708"/>
    <w:rsid w:val="00642C38"/>
    <w:rsid w:val="00643C20"/>
    <w:rsid w:val="00644231"/>
    <w:rsid w:val="00644A40"/>
    <w:rsid w:val="00644C1E"/>
    <w:rsid w:val="00644D7A"/>
    <w:rsid w:val="00645164"/>
    <w:rsid w:val="006468E6"/>
    <w:rsid w:val="006476E5"/>
    <w:rsid w:val="006502BE"/>
    <w:rsid w:val="00651EED"/>
    <w:rsid w:val="006534DB"/>
    <w:rsid w:val="00655191"/>
    <w:rsid w:val="00655D3D"/>
    <w:rsid w:val="0066047D"/>
    <w:rsid w:val="00660484"/>
    <w:rsid w:val="006623B3"/>
    <w:rsid w:val="00662D31"/>
    <w:rsid w:val="00663E0E"/>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A1C99"/>
    <w:rsid w:val="006A2FDD"/>
    <w:rsid w:val="006A33D4"/>
    <w:rsid w:val="006B047F"/>
    <w:rsid w:val="006B12DA"/>
    <w:rsid w:val="006B1A0C"/>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A9B"/>
    <w:rsid w:val="006E475D"/>
    <w:rsid w:val="006E4A33"/>
    <w:rsid w:val="006E50B8"/>
    <w:rsid w:val="006F065C"/>
    <w:rsid w:val="006F0BC7"/>
    <w:rsid w:val="006F32A8"/>
    <w:rsid w:val="006F4F34"/>
    <w:rsid w:val="006F5FDD"/>
    <w:rsid w:val="006F6D39"/>
    <w:rsid w:val="006F711C"/>
    <w:rsid w:val="0070089F"/>
    <w:rsid w:val="007022D6"/>
    <w:rsid w:val="00704157"/>
    <w:rsid w:val="007052A8"/>
    <w:rsid w:val="00706487"/>
    <w:rsid w:val="0070796B"/>
    <w:rsid w:val="007111D9"/>
    <w:rsid w:val="00711365"/>
    <w:rsid w:val="00711956"/>
    <w:rsid w:val="00713289"/>
    <w:rsid w:val="007134AE"/>
    <w:rsid w:val="007145ED"/>
    <w:rsid w:val="007149D7"/>
    <w:rsid w:val="007166FE"/>
    <w:rsid w:val="00717F2F"/>
    <w:rsid w:val="00720634"/>
    <w:rsid w:val="00721BDB"/>
    <w:rsid w:val="0072415C"/>
    <w:rsid w:val="00724351"/>
    <w:rsid w:val="00725856"/>
    <w:rsid w:val="00726483"/>
    <w:rsid w:val="00726C16"/>
    <w:rsid w:val="007270D0"/>
    <w:rsid w:val="00730F81"/>
    <w:rsid w:val="00732B63"/>
    <w:rsid w:val="00732D0E"/>
    <w:rsid w:val="0073324B"/>
    <w:rsid w:val="007339C2"/>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331D"/>
    <w:rsid w:val="00754AC2"/>
    <w:rsid w:val="00755A87"/>
    <w:rsid w:val="007560B8"/>
    <w:rsid w:val="007562EB"/>
    <w:rsid w:val="00756C43"/>
    <w:rsid w:val="00760B73"/>
    <w:rsid w:val="007626A3"/>
    <w:rsid w:val="007633BC"/>
    <w:rsid w:val="007644C8"/>
    <w:rsid w:val="00764B68"/>
    <w:rsid w:val="007660D2"/>
    <w:rsid w:val="00766477"/>
    <w:rsid w:val="00771F24"/>
    <w:rsid w:val="00772878"/>
    <w:rsid w:val="00774734"/>
    <w:rsid w:val="00777A37"/>
    <w:rsid w:val="00781BA0"/>
    <w:rsid w:val="00781E5D"/>
    <w:rsid w:val="007852B4"/>
    <w:rsid w:val="007865C2"/>
    <w:rsid w:val="00787592"/>
    <w:rsid w:val="00791BDC"/>
    <w:rsid w:val="00792A54"/>
    <w:rsid w:val="00792CDB"/>
    <w:rsid w:val="007950A9"/>
    <w:rsid w:val="00796937"/>
    <w:rsid w:val="00797684"/>
    <w:rsid w:val="00797A38"/>
    <w:rsid w:val="007A2398"/>
    <w:rsid w:val="007A6F0D"/>
    <w:rsid w:val="007B04FA"/>
    <w:rsid w:val="007B05F8"/>
    <w:rsid w:val="007B5A95"/>
    <w:rsid w:val="007B5ABD"/>
    <w:rsid w:val="007B5E68"/>
    <w:rsid w:val="007C2F19"/>
    <w:rsid w:val="007C2F38"/>
    <w:rsid w:val="007C3642"/>
    <w:rsid w:val="007C4070"/>
    <w:rsid w:val="007C69DE"/>
    <w:rsid w:val="007C715D"/>
    <w:rsid w:val="007D1446"/>
    <w:rsid w:val="007D1AD1"/>
    <w:rsid w:val="007D55DB"/>
    <w:rsid w:val="007D76F2"/>
    <w:rsid w:val="007E089D"/>
    <w:rsid w:val="007E2F64"/>
    <w:rsid w:val="007E5D71"/>
    <w:rsid w:val="007E5F83"/>
    <w:rsid w:val="007E767B"/>
    <w:rsid w:val="007E7F43"/>
    <w:rsid w:val="007F38C5"/>
    <w:rsid w:val="007F3D06"/>
    <w:rsid w:val="007F5938"/>
    <w:rsid w:val="007F7A54"/>
    <w:rsid w:val="007F7B52"/>
    <w:rsid w:val="00800024"/>
    <w:rsid w:val="0080175B"/>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1533"/>
    <w:rsid w:val="008318D0"/>
    <w:rsid w:val="008332E4"/>
    <w:rsid w:val="00833628"/>
    <w:rsid w:val="00840332"/>
    <w:rsid w:val="00840449"/>
    <w:rsid w:val="00841010"/>
    <w:rsid w:val="0084354B"/>
    <w:rsid w:val="0084374D"/>
    <w:rsid w:val="00843F23"/>
    <w:rsid w:val="00843FFD"/>
    <w:rsid w:val="008503E9"/>
    <w:rsid w:val="00850DD6"/>
    <w:rsid w:val="0085350E"/>
    <w:rsid w:val="00853AAE"/>
    <w:rsid w:val="00855608"/>
    <w:rsid w:val="008563C2"/>
    <w:rsid w:val="00862DA5"/>
    <w:rsid w:val="00863843"/>
    <w:rsid w:val="00864158"/>
    <w:rsid w:val="00864872"/>
    <w:rsid w:val="00864962"/>
    <w:rsid w:val="00864F8E"/>
    <w:rsid w:val="008654DF"/>
    <w:rsid w:val="00865E0A"/>
    <w:rsid w:val="0087195F"/>
    <w:rsid w:val="00871EDF"/>
    <w:rsid w:val="00873DE4"/>
    <w:rsid w:val="00875F5F"/>
    <w:rsid w:val="008766EC"/>
    <w:rsid w:val="00880EA6"/>
    <w:rsid w:val="0088338E"/>
    <w:rsid w:val="008834D4"/>
    <w:rsid w:val="00883821"/>
    <w:rsid w:val="00885174"/>
    <w:rsid w:val="00890062"/>
    <w:rsid w:val="0089455E"/>
    <w:rsid w:val="00895592"/>
    <w:rsid w:val="00895FF4"/>
    <w:rsid w:val="0089738D"/>
    <w:rsid w:val="008A434A"/>
    <w:rsid w:val="008A4FC6"/>
    <w:rsid w:val="008A55AB"/>
    <w:rsid w:val="008B32E1"/>
    <w:rsid w:val="008B3CB4"/>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B55"/>
    <w:rsid w:val="008F0C5C"/>
    <w:rsid w:val="008F3A57"/>
    <w:rsid w:val="008F3BE3"/>
    <w:rsid w:val="008F4302"/>
    <w:rsid w:val="008F6051"/>
    <w:rsid w:val="008F785B"/>
    <w:rsid w:val="008F7D62"/>
    <w:rsid w:val="009017EA"/>
    <w:rsid w:val="00902FCE"/>
    <w:rsid w:val="0090523B"/>
    <w:rsid w:val="00906066"/>
    <w:rsid w:val="0090609A"/>
    <w:rsid w:val="00910BBC"/>
    <w:rsid w:val="009139BF"/>
    <w:rsid w:val="0091654B"/>
    <w:rsid w:val="009166AC"/>
    <w:rsid w:val="0091725A"/>
    <w:rsid w:val="00922EF9"/>
    <w:rsid w:val="00924770"/>
    <w:rsid w:val="00924ACC"/>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040F"/>
    <w:rsid w:val="009A19AA"/>
    <w:rsid w:val="009A6AFB"/>
    <w:rsid w:val="009A6C3A"/>
    <w:rsid w:val="009B0893"/>
    <w:rsid w:val="009B576B"/>
    <w:rsid w:val="009B7000"/>
    <w:rsid w:val="009B7519"/>
    <w:rsid w:val="009B763C"/>
    <w:rsid w:val="009B7802"/>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937"/>
    <w:rsid w:val="00A03BE1"/>
    <w:rsid w:val="00A0401E"/>
    <w:rsid w:val="00A04A49"/>
    <w:rsid w:val="00A05924"/>
    <w:rsid w:val="00A10095"/>
    <w:rsid w:val="00A119FB"/>
    <w:rsid w:val="00A124E5"/>
    <w:rsid w:val="00A1720D"/>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1C54"/>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A9C"/>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8F7"/>
    <w:rsid w:val="00AA6CE0"/>
    <w:rsid w:val="00AB251C"/>
    <w:rsid w:val="00AB5832"/>
    <w:rsid w:val="00AB5DA9"/>
    <w:rsid w:val="00AC1167"/>
    <w:rsid w:val="00AC1992"/>
    <w:rsid w:val="00AC30B4"/>
    <w:rsid w:val="00AC359E"/>
    <w:rsid w:val="00AC4AC0"/>
    <w:rsid w:val="00AC6467"/>
    <w:rsid w:val="00AD001F"/>
    <w:rsid w:val="00AD065D"/>
    <w:rsid w:val="00AD4EF0"/>
    <w:rsid w:val="00AD573E"/>
    <w:rsid w:val="00AD5E79"/>
    <w:rsid w:val="00AD76B4"/>
    <w:rsid w:val="00AD7818"/>
    <w:rsid w:val="00AD7999"/>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5955"/>
    <w:rsid w:val="00AF6245"/>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45C"/>
    <w:rsid w:val="00B50C6F"/>
    <w:rsid w:val="00B52209"/>
    <w:rsid w:val="00B52558"/>
    <w:rsid w:val="00B52A49"/>
    <w:rsid w:val="00B53228"/>
    <w:rsid w:val="00B546BC"/>
    <w:rsid w:val="00B56114"/>
    <w:rsid w:val="00B60E69"/>
    <w:rsid w:val="00B6226A"/>
    <w:rsid w:val="00B63D53"/>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AB5"/>
    <w:rsid w:val="00BE0175"/>
    <w:rsid w:val="00BE0EF8"/>
    <w:rsid w:val="00BE1711"/>
    <w:rsid w:val="00BE1DC2"/>
    <w:rsid w:val="00BE38D4"/>
    <w:rsid w:val="00BE3BE7"/>
    <w:rsid w:val="00BE3FD6"/>
    <w:rsid w:val="00BE424C"/>
    <w:rsid w:val="00BE5FC9"/>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42D0"/>
    <w:rsid w:val="00C264FF"/>
    <w:rsid w:val="00C266EA"/>
    <w:rsid w:val="00C30B73"/>
    <w:rsid w:val="00C31D8A"/>
    <w:rsid w:val="00C32748"/>
    <w:rsid w:val="00C328AB"/>
    <w:rsid w:val="00C32CA4"/>
    <w:rsid w:val="00C33002"/>
    <w:rsid w:val="00C3421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7DE"/>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FAD"/>
    <w:rsid w:val="00C956FD"/>
    <w:rsid w:val="00C975BF"/>
    <w:rsid w:val="00C97A6D"/>
    <w:rsid w:val="00C97EC6"/>
    <w:rsid w:val="00CA10C3"/>
    <w:rsid w:val="00CA2000"/>
    <w:rsid w:val="00CA4215"/>
    <w:rsid w:val="00CA4D73"/>
    <w:rsid w:val="00CA4D8C"/>
    <w:rsid w:val="00CA4E30"/>
    <w:rsid w:val="00CA5411"/>
    <w:rsid w:val="00CA7C42"/>
    <w:rsid w:val="00CB2106"/>
    <w:rsid w:val="00CB46E3"/>
    <w:rsid w:val="00CB4EB3"/>
    <w:rsid w:val="00CB5FB6"/>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1FB7"/>
    <w:rsid w:val="00CF369D"/>
    <w:rsid w:val="00CF7ED8"/>
    <w:rsid w:val="00D015C7"/>
    <w:rsid w:val="00D01813"/>
    <w:rsid w:val="00D04252"/>
    <w:rsid w:val="00D0599B"/>
    <w:rsid w:val="00D070E7"/>
    <w:rsid w:val="00D12E50"/>
    <w:rsid w:val="00D12EB0"/>
    <w:rsid w:val="00D13663"/>
    <w:rsid w:val="00D163F1"/>
    <w:rsid w:val="00D1653D"/>
    <w:rsid w:val="00D17C05"/>
    <w:rsid w:val="00D206FE"/>
    <w:rsid w:val="00D20DFD"/>
    <w:rsid w:val="00D22DFB"/>
    <w:rsid w:val="00D23CED"/>
    <w:rsid w:val="00D244FA"/>
    <w:rsid w:val="00D2625B"/>
    <w:rsid w:val="00D304B3"/>
    <w:rsid w:val="00D31DB3"/>
    <w:rsid w:val="00D32559"/>
    <w:rsid w:val="00D339E7"/>
    <w:rsid w:val="00D37F00"/>
    <w:rsid w:val="00D416B5"/>
    <w:rsid w:val="00D42870"/>
    <w:rsid w:val="00D4469C"/>
    <w:rsid w:val="00D45241"/>
    <w:rsid w:val="00D45E54"/>
    <w:rsid w:val="00D4678A"/>
    <w:rsid w:val="00D50177"/>
    <w:rsid w:val="00D505EA"/>
    <w:rsid w:val="00D50D1B"/>
    <w:rsid w:val="00D52432"/>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A7F99"/>
    <w:rsid w:val="00DB06AA"/>
    <w:rsid w:val="00DB16B2"/>
    <w:rsid w:val="00DB4847"/>
    <w:rsid w:val="00DB5050"/>
    <w:rsid w:val="00DB6D5B"/>
    <w:rsid w:val="00DC0875"/>
    <w:rsid w:val="00DC0D99"/>
    <w:rsid w:val="00DC1FE8"/>
    <w:rsid w:val="00DC36C0"/>
    <w:rsid w:val="00DC3E65"/>
    <w:rsid w:val="00DC5415"/>
    <w:rsid w:val="00DC5584"/>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6E16"/>
    <w:rsid w:val="00E1713E"/>
    <w:rsid w:val="00E17455"/>
    <w:rsid w:val="00E22059"/>
    <w:rsid w:val="00E222DB"/>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6407"/>
    <w:rsid w:val="00E57E3D"/>
    <w:rsid w:val="00E62258"/>
    <w:rsid w:val="00E633AF"/>
    <w:rsid w:val="00E635B7"/>
    <w:rsid w:val="00E637D0"/>
    <w:rsid w:val="00E679C3"/>
    <w:rsid w:val="00E70949"/>
    <w:rsid w:val="00E72E2A"/>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78B"/>
    <w:rsid w:val="00E932DA"/>
    <w:rsid w:val="00E94412"/>
    <w:rsid w:val="00E94B8E"/>
    <w:rsid w:val="00E95FBC"/>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74E"/>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1957"/>
    <w:rsid w:val="00F52DAB"/>
    <w:rsid w:val="00F53C78"/>
    <w:rsid w:val="00F603ED"/>
    <w:rsid w:val="00F6167B"/>
    <w:rsid w:val="00F61E76"/>
    <w:rsid w:val="00F63332"/>
    <w:rsid w:val="00F64C68"/>
    <w:rsid w:val="00F65DAD"/>
    <w:rsid w:val="00F67C85"/>
    <w:rsid w:val="00F71612"/>
    <w:rsid w:val="00F724B2"/>
    <w:rsid w:val="00F72882"/>
    <w:rsid w:val="00F755F7"/>
    <w:rsid w:val="00F75D6F"/>
    <w:rsid w:val="00F7645F"/>
    <w:rsid w:val="00F81D40"/>
    <w:rsid w:val="00F81EBF"/>
    <w:rsid w:val="00F8292F"/>
    <w:rsid w:val="00F836FC"/>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17916654">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015002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57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BC2A-8A5D-4029-9A50-F43533B6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7</cp:revision>
  <dcterms:created xsi:type="dcterms:W3CDTF">2020-04-09T07:58:00Z</dcterms:created>
  <dcterms:modified xsi:type="dcterms:W3CDTF">2020-04-10T02:28:00Z</dcterms:modified>
</cp:coreProperties>
</file>